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D007" w14:textId="0C156C13" w:rsidR="00D334FE" w:rsidRPr="00926A00" w:rsidRDefault="00D334FE" w:rsidP="00D334F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926A00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Ma</w:t>
      </w:r>
      <w:r w:rsidR="00CB543B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cr</w:t>
      </w:r>
      <w:r w:rsidRPr="00926A00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osomie</w:t>
      </w:r>
      <w:proofErr w:type="spellEnd"/>
      <w:r w:rsidRPr="00926A00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 xml:space="preserve"> in de zwangerschap</w:t>
      </w:r>
    </w:p>
    <w:p w14:paraId="0B9A4D40" w14:textId="7A89CD08" w:rsidR="00D334FE" w:rsidRPr="00602E3F" w:rsidRDefault="00D334FE" w:rsidP="00D334F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Versie </w:t>
      </w:r>
      <w:r w:rsidR="0015157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C42EB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november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2022</w:t>
      </w:r>
    </w:p>
    <w:p w14:paraId="39924646" w14:textId="2C021713" w:rsidR="00D334FE" w:rsidRPr="00602E3F" w:rsidRDefault="00D334FE" w:rsidP="00D334F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 herzien voor </w:t>
      </w:r>
      <w:r w:rsidR="00C42EB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november</w:t>
      </w:r>
      <w:r w:rsidR="00A170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20</w:t>
      </w:r>
      <w:r w:rsidR="0015157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25</w:t>
      </w:r>
    </w:p>
    <w:p w14:paraId="26AB4786" w14:textId="77777777" w:rsidR="003E5830" w:rsidRPr="003E5830" w:rsidRDefault="003E5830" w:rsidP="003E583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E3B374" w14:textId="77777777" w:rsidR="003E5830" w:rsidRPr="00C269BB" w:rsidRDefault="003E5830" w:rsidP="003E5830">
      <w:pPr>
        <w:spacing w:after="0" w:line="240" w:lineRule="auto"/>
        <w:rPr>
          <w:rFonts w:ascii="Arial" w:eastAsia="Arial" w:hAnsi="Arial" w:cs="Arial"/>
          <w:b/>
        </w:rPr>
      </w:pPr>
      <w:r w:rsidRPr="00C269BB">
        <w:rPr>
          <w:rFonts w:ascii="Arial" w:eastAsia="Arial" w:hAnsi="Arial" w:cs="Arial"/>
          <w:b/>
        </w:rPr>
        <w:t xml:space="preserve">Inhoud </w:t>
      </w:r>
    </w:p>
    <w:p w14:paraId="21681F77" w14:textId="77777777" w:rsidR="003E5830" w:rsidRPr="003E5830" w:rsidRDefault="003E5830" w:rsidP="003E583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8BE628" w14:textId="221B5C34" w:rsidR="003E5830" w:rsidRPr="003E5830" w:rsidRDefault="003E5830" w:rsidP="003E5830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830">
        <w:rPr>
          <w:rFonts w:ascii="Arial" w:eastAsia="Arial" w:hAnsi="Arial" w:cs="Arial"/>
          <w:sz w:val="20"/>
          <w:szCs w:val="20"/>
        </w:rPr>
        <w:t>Achtergrond</w:t>
      </w:r>
    </w:p>
    <w:p w14:paraId="6C81EF47" w14:textId="3B1D09F9" w:rsidR="002A5004" w:rsidRPr="002A5004" w:rsidRDefault="002A5004" w:rsidP="002A5004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Bevoegdheden</w:t>
      </w:r>
    </w:p>
    <w:p w14:paraId="3222152A" w14:textId="64146986" w:rsidR="003E5830" w:rsidRDefault="003E5830" w:rsidP="003E5830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830">
        <w:rPr>
          <w:rFonts w:ascii="Arial" w:eastAsia="Arial" w:hAnsi="Arial" w:cs="Arial"/>
          <w:sz w:val="20"/>
          <w:szCs w:val="20"/>
        </w:rPr>
        <w:t>Beleid</w:t>
      </w:r>
    </w:p>
    <w:p w14:paraId="1BEDEA97" w14:textId="6F52EB96" w:rsidR="003E5830" w:rsidRPr="003E5830" w:rsidRDefault="003E5830" w:rsidP="003E5830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830">
        <w:rPr>
          <w:rFonts w:ascii="Arial" w:eastAsia="Arial" w:hAnsi="Arial" w:cs="Arial"/>
          <w:sz w:val="20"/>
          <w:szCs w:val="20"/>
        </w:rPr>
        <w:t>Bijlage 1 Counselingsgesprek</w:t>
      </w:r>
    </w:p>
    <w:p w14:paraId="54CC1C32" w14:textId="7A407612" w:rsidR="00D334FE" w:rsidRPr="00C269BB" w:rsidRDefault="00D334FE" w:rsidP="00D334FE">
      <w:pPr>
        <w:spacing w:before="240" w:after="0" w:line="240" w:lineRule="auto"/>
        <w:rPr>
          <w:rFonts w:ascii="Arial" w:eastAsia="Times New Roman" w:hAnsi="Arial" w:cs="Arial"/>
          <w:lang w:eastAsia="nl-NL"/>
        </w:rPr>
      </w:pPr>
      <w:r w:rsidRPr="00C269BB">
        <w:rPr>
          <w:rFonts w:ascii="Arial" w:eastAsia="Times New Roman" w:hAnsi="Arial" w:cs="Arial"/>
          <w:b/>
          <w:bCs/>
          <w:color w:val="000000"/>
          <w:lang w:eastAsia="nl-NL"/>
        </w:rPr>
        <w:t>Doel</w:t>
      </w:r>
      <w:r w:rsidRPr="00C269BB">
        <w:rPr>
          <w:rFonts w:ascii="Arial" w:eastAsia="Times New Roman" w:hAnsi="Arial" w:cs="Arial"/>
          <w:b/>
          <w:bCs/>
          <w:color w:val="000000"/>
          <w:lang w:eastAsia="nl-NL"/>
        </w:rPr>
        <w:br/>
      </w:r>
    </w:p>
    <w:p w14:paraId="6212E79D" w14:textId="44A528EF" w:rsidR="003E5830" w:rsidRPr="003E5830" w:rsidRDefault="00D334FE" w:rsidP="00D334F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Handvatten voor counseling van een zwangere en haar partner bij een foetus met een foetale biometrie groter</w:t>
      </w:r>
      <w:r w:rsidR="00BA62F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of gelijk aan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 95ste percentiel gemeten bij de amenorroeduur van 34 weken of later.  </w:t>
      </w:r>
    </w:p>
    <w:p w14:paraId="73822304" w14:textId="49815B54" w:rsidR="00D334FE" w:rsidRPr="00CF3D41" w:rsidRDefault="00D334FE" w:rsidP="00CF3D41">
      <w:pPr>
        <w:pStyle w:val="Lijstalinea"/>
        <w:numPr>
          <w:ilvl w:val="0"/>
          <w:numId w:val="33"/>
        </w:numPr>
        <w:spacing w:before="240" w:after="0" w:line="240" w:lineRule="auto"/>
        <w:rPr>
          <w:rFonts w:ascii="Arial" w:eastAsia="Times New Roman" w:hAnsi="Arial" w:cs="Arial"/>
          <w:lang w:eastAsia="nl-NL"/>
        </w:rPr>
      </w:pPr>
      <w:r w:rsidRPr="00CF3D41">
        <w:rPr>
          <w:rFonts w:ascii="Arial" w:eastAsia="Times New Roman" w:hAnsi="Arial" w:cs="Arial"/>
          <w:b/>
          <w:bCs/>
          <w:color w:val="000000"/>
          <w:lang w:eastAsia="nl-NL"/>
        </w:rPr>
        <w:t>Achtergrond</w:t>
      </w:r>
      <w:r w:rsidRPr="00CF3D41">
        <w:rPr>
          <w:rFonts w:ascii="Arial" w:eastAsia="Times New Roman" w:hAnsi="Arial" w:cs="Arial"/>
          <w:b/>
          <w:bCs/>
          <w:color w:val="000000"/>
          <w:lang w:eastAsia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1"/>
        <w:gridCol w:w="7231"/>
      </w:tblGrid>
      <w:tr w:rsidR="00602E3F" w:rsidRPr="00602E3F" w14:paraId="2F6070FD" w14:textId="77777777" w:rsidTr="001E412A">
        <w:tc>
          <w:tcPr>
            <w:tcW w:w="9062" w:type="dxa"/>
            <w:gridSpan w:val="2"/>
            <w:shd w:val="clear" w:color="auto" w:fill="D2C6C1" w:themeFill="background2" w:themeFillShade="E6"/>
          </w:tcPr>
          <w:p w14:paraId="40D4662C" w14:textId="0E842341" w:rsidR="00602E3F" w:rsidRPr="002A3C8D" w:rsidRDefault="00BA4491" w:rsidP="00D334F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1.1 </w:t>
            </w:r>
            <w:r w:rsidR="00602E3F" w:rsidRPr="002A3C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Definities</w:t>
            </w:r>
          </w:p>
        </w:tc>
      </w:tr>
      <w:tr w:rsidR="00602E3F" w:rsidRPr="00602E3F" w14:paraId="798AE056" w14:textId="77777777" w:rsidTr="00602E3F">
        <w:tc>
          <w:tcPr>
            <w:tcW w:w="1831" w:type="dxa"/>
          </w:tcPr>
          <w:p w14:paraId="70DFF1D8" w14:textId="0E7DE0B4" w:rsidR="00602E3F" w:rsidRPr="00602E3F" w:rsidRDefault="00602E3F" w:rsidP="00D334FE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602E3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nl-NL"/>
              </w:rPr>
              <w:t>Macrosomie</w:t>
            </w:r>
            <w:proofErr w:type="spellEnd"/>
            <w:r w:rsidRPr="00602E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7231" w:type="dxa"/>
          </w:tcPr>
          <w:p w14:paraId="5A4DE65A" w14:textId="744ECEB6" w:rsidR="00602E3F" w:rsidRPr="00602E3F" w:rsidRDefault="00602E3F" w:rsidP="00D334FE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AC </w:t>
            </w:r>
            <w:r w:rsidR="00BA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</w:t>
            </w:r>
            <w:r w:rsidR="009A2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p9</w:t>
            </w:r>
            <w:r w:rsidR="00BA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 en of EFW</w:t>
            </w:r>
            <w:r w:rsidR="009A2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BA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</w:t>
            </w:r>
            <w:r w:rsidR="009A2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BA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P95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of een geboortegewicht ≥</w:t>
            </w:r>
            <w:r w:rsidR="009A2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4500 gram ongeacht de amenorroeduur (NVOG, NICE).</w:t>
            </w:r>
          </w:p>
        </w:tc>
      </w:tr>
      <w:tr w:rsidR="00602E3F" w:rsidRPr="00602E3F" w14:paraId="6BF74FB6" w14:textId="77777777" w:rsidTr="00602E3F">
        <w:tc>
          <w:tcPr>
            <w:tcW w:w="1831" w:type="dxa"/>
          </w:tcPr>
          <w:p w14:paraId="53A9B8AA" w14:textId="2E7F04C6" w:rsidR="00602E3F" w:rsidRPr="00602E3F" w:rsidRDefault="00602E3F" w:rsidP="00D334FE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Positieve </w:t>
            </w:r>
            <w:proofErr w:type="spellStart"/>
            <w:r w:rsidRPr="00602E3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nl-NL"/>
              </w:rPr>
              <w:t>dyscongruentie</w:t>
            </w:r>
            <w:proofErr w:type="spellEnd"/>
            <w:r w:rsidRPr="00602E3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nl-NL"/>
              </w:rPr>
              <w:t>: </w:t>
            </w:r>
          </w:p>
        </w:tc>
        <w:tc>
          <w:tcPr>
            <w:tcW w:w="7231" w:type="dxa"/>
          </w:tcPr>
          <w:p w14:paraId="311E217C" w14:textId="0E5D0ACA" w:rsidR="00602E3F" w:rsidRPr="00602E3F" w:rsidRDefault="00602E3F" w:rsidP="00D334FE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Uitzetting van de uterus die </w:t>
            </w:r>
            <w:r w:rsidR="009B3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</w:t>
            </w:r>
            <w:r w:rsidR="009A2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weken voorloopt op de duur van de zwangerschap, met een zeker gestelde termijn</w:t>
            </w:r>
            <w:r w:rsidR="009B3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5A458A76" w14:textId="38DDAB4E" w:rsidR="00602E3F" w:rsidRPr="00602E3F" w:rsidRDefault="00602E3F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6493B70" w14:textId="77777777" w:rsidR="00D334FE" w:rsidRPr="00602E3F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prevalentie in de literatuur hangt samen met de gebruikte definities. Bij het hanteren van een grens van ≥ 4500 gr is de prevalentie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 Nederland 1,9%. Een geboortegewicht van meer dan of gelijk aan 4000 gram kwam in 2017 bij 13,6% van de kinderen in Nederland voor. </w:t>
      </w:r>
    </w:p>
    <w:p w14:paraId="642ADC65" w14:textId="34EE0634" w:rsidR="00602E3F" w:rsidRPr="00A17003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prevalentie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 w:rsidR="00A6270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is binnen ontwikkelde landen de afgelopen 20 jaar gestegen en deze </w:t>
      </w:r>
      <w:r w:rsidRPr="00A170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toenemende trend lijkt zich voort te zetten, mede door de stijging van het percentage vrouwen met obesitas.</w:t>
      </w:r>
    </w:p>
    <w:p w14:paraId="5C5364B3" w14:textId="002A9B1E" w:rsidR="00336F4B" w:rsidRPr="009A2C54" w:rsidRDefault="00336F4B" w:rsidP="00D334FE">
      <w:pPr>
        <w:spacing w:line="240" w:lineRule="auto"/>
        <w:rPr>
          <w:rFonts w:ascii="Arial" w:hAnsi="Arial" w:cs="Arial"/>
          <w:sz w:val="20"/>
          <w:szCs w:val="20"/>
        </w:rPr>
      </w:pPr>
      <w:r w:rsidRPr="00A17003">
        <w:rPr>
          <w:rFonts w:ascii="Arial" w:eastAsia="Times New Roman" w:hAnsi="Arial" w:cs="Arial"/>
          <w:sz w:val="20"/>
          <w:szCs w:val="20"/>
          <w:lang w:eastAsia="nl-NL"/>
        </w:rPr>
        <w:t>In dit protocol bedoelen we bij</w:t>
      </w:r>
      <w:r w:rsidR="00A62704" w:rsidRPr="00A1700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62704" w:rsidRPr="00A17003">
        <w:rPr>
          <w:rFonts w:ascii="Arial" w:hAnsi="Arial" w:cs="Arial"/>
          <w:sz w:val="20"/>
          <w:szCs w:val="20"/>
        </w:rPr>
        <w:t xml:space="preserve">foetale </w:t>
      </w:r>
      <w:proofErr w:type="spellStart"/>
      <w:r w:rsidR="00A62704" w:rsidRPr="00A17003">
        <w:rPr>
          <w:rFonts w:ascii="Arial" w:hAnsi="Arial" w:cs="Arial"/>
          <w:sz w:val="20"/>
          <w:szCs w:val="20"/>
        </w:rPr>
        <w:t>macrosomie</w:t>
      </w:r>
      <w:proofErr w:type="spellEnd"/>
      <w:r w:rsidRPr="00A17003">
        <w:rPr>
          <w:rFonts w:ascii="Arial" w:hAnsi="Arial" w:cs="Arial"/>
          <w:sz w:val="20"/>
          <w:szCs w:val="20"/>
        </w:rPr>
        <w:t xml:space="preserve"> een</w:t>
      </w:r>
      <w:r w:rsidR="00A62704" w:rsidRPr="00A17003">
        <w:rPr>
          <w:rFonts w:ascii="Arial" w:hAnsi="Arial" w:cs="Arial"/>
          <w:sz w:val="20"/>
          <w:szCs w:val="20"/>
        </w:rPr>
        <w:t xml:space="preserve"> foetus met </w:t>
      </w:r>
      <w:r w:rsidR="00A62704" w:rsidRPr="00A17003">
        <w:rPr>
          <w:rFonts w:ascii="Arial" w:hAnsi="Arial" w:cs="Arial"/>
          <w:i/>
          <w:sz w:val="20"/>
          <w:szCs w:val="20"/>
        </w:rPr>
        <w:t xml:space="preserve">FAC </w:t>
      </w:r>
      <w:r w:rsidR="00A62704" w:rsidRPr="00A17003">
        <w:rPr>
          <w:rFonts w:ascii="Arial" w:hAnsi="Arial" w:cs="Arial"/>
          <w:sz w:val="20"/>
          <w:szCs w:val="20"/>
        </w:rPr>
        <w:t>≥ p95 en/of EFW ≥</w:t>
      </w:r>
      <w:r w:rsidR="009A2C54">
        <w:rPr>
          <w:rFonts w:ascii="Arial" w:hAnsi="Arial" w:cs="Arial"/>
          <w:sz w:val="20"/>
          <w:szCs w:val="20"/>
        </w:rPr>
        <w:t xml:space="preserve"> </w:t>
      </w:r>
      <w:r w:rsidR="00A62704" w:rsidRPr="00A17003">
        <w:rPr>
          <w:rFonts w:ascii="Arial" w:hAnsi="Arial" w:cs="Arial"/>
          <w:sz w:val="20"/>
          <w:szCs w:val="20"/>
        </w:rPr>
        <w:t>p95 of geschat geboortegewicht ≥</w:t>
      </w:r>
      <w:r w:rsidR="009A2C54">
        <w:rPr>
          <w:rFonts w:ascii="Arial" w:hAnsi="Arial" w:cs="Arial"/>
          <w:sz w:val="20"/>
          <w:szCs w:val="20"/>
        </w:rPr>
        <w:t xml:space="preserve"> </w:t>
      </w:r>
      <w:r w:rsidR="00A62704" w:rsidRPr="00A17003">
        <w:rPr>
          <w:rFonts w:ascii="Arial" w:hAnsi="Arial" w:cs="Arial"/>
          <w:sz w:val="20"/>
          <w:szCs w:val="20"/>
        </w:rPr>
        <w:t>4500 g</w:t>
      </w:r>
      <w:r w:rsidR="002A3C8D">
        <w:rPr>
          <w:rFonts w:ascii="Arial" w:hAnsi="Arial" w:cs="Arial"/>
          <w:sz w:val="20"/>
          <w:szCs w:val="20"/>
        </w:rPr>
        <w:t>ram</w:t>
      </w:r>
      <w:r w:rsidR="00BD53B9" w:rsidRPr="00A17003">
        <w:rPr>
          <w:rFonts w:ascii="Arial" w:hAnsi="Arial" w:cs="Arial"/>
          <w:sz w:val="20"/>
          <w:szCs w:val="20"/>
        </w:rPr>
        <w:t>.</w:t>
      </w:r>
    </w:p>
    <w:p w14:paraId="28D5FF4A" w14:textId="4C8CC592" w:rsidR="00BA4491" w:rsidRPr="00BA4491" w:rsidRDefault="00D93139" w:rsidP="00BA4491">
      <w:pPr>
        <w:pStyle w:val="Lijstalinea"/>
        <w:numPr>
          <w:ilvl w:val="1"/>
          <w:numId w:val="34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BA449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Risico</w:t>
      </w:r>
      <w:r w:rsidR="00D334FE" w:rsidRPr="00BA449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factore</w:t>
      </w:r>
      <w:r w:rsidR="00BA449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n</w:t>
      </w:r>
    </w:p>
    <w:p w14:paraId="0058282D" w14:textId="220AE290" w:rsidR="00D334FE" w:rsidRPr="00CF3D41" w:rsidRDefault="00CF3D41" w:rsidP="00CF3D41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Risicofactoren </w:t>
      </w:r>
      <w:r w:rsidR="00602E3F" w:rsidRPr="00CF3D4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voor </w:t>
      </w:r>
      <w:proofErr w:type="spellStart"/>
      <w:r w:rsidR="00602E3F" w:rsidRPr="00CF3D4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macrosomie</w:t>
      </w:r>
      <w:proofErr w:type="spellEnd"/>
      <w:r w:rsidR="002A3C8D" w:rsidRPr="00CF3D4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:</w:t>
      </w:r>
    </w:p>
    <w:p w14:paraId="5109FAA6" w14:textId="77132745" w:rsidR="00D334FE" w:rsidRPr="00602E3F" w:rsidRDefault="00B80F54" w:rsidP="00D334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Verhoogd BMI ≥</w:t>
      </w:r>
      <w:r w:rsidR="00D334FE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25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kg/m</w:t>
      </w:r>
      <w:r w:rsidRPr="00602E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l-NL"/>
        </w:rPr>
        <w:t>2</w:t>
      </w:r>
    </w:p>
    <w:p w14:paraId="0A70A72E" w14:textId="1D65A7C5" w:rsidR="00B80F54" w:rsidRPr="00602E3F" w:rsidRDefault="00DA4030" w:rsidP="00D334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Hogere maternale l</w:t>
      </w:r>
      <w:r w:rsidR="00B80F54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eeftijd</w:t>
      </w:r>
    </w:p>
    <w:p w14:paraId="06E183E8" w14:textId="013FDF92" w:rsidR="00D334FE" w:rsidRPr="00602E3F" w:rsidRDefault="00D334FE" w:rsidP="00D334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Diabetes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gravidarum</w:t>
      </w:r>
      <w:proofErr w:type="spellEnd"/>
    </w:p>
    <w:p w14:paraId="05466A80" w14:textId="77777777" w:rsidR="00B80F54" w:rsidRPr="00602E3F" w:rsidRDefault="00B80F54" w:rsidP="00D334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Diabetes mellitus</w:t>
      </w:r>
    </w:p>
    <w:p w14:paraId="12082F73" w14:textId="2A938ED6" w:rsidR="00B80F54" w:rsidRPr="00602E3F" w:rsidRDefault="009A2C54" w:rsidP="00D334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 anamnese</w:t>
      </w:r>
      <w:r w:rsidR="00B80F54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(herhalingsrisico 85%)</w:t>
      </w:r>
    </w:p>
    <w:p w14:paraId="1303E78F" w14:textId="3B64DCE1" w:rsidR="00D334FE" w:rsidRPr="00602E3F" w:rsidRDefault="00D334FE" w:rsidP="00B80F5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9F14DC3" w14:textId="0FFBCAC3" w:rsidR="00B80F54" w:rsidRPr="009A2C54" w:rsidRDefault="000D194E" w:rsidP="002A5004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R</w:t>
      </w:r>
      <w:r w:rsidR="00D334FE"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isico</w:t>
      </w:r>
      <w:r w:rsid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’</w:t>
      </w:r>
      <w:r w:rsidR="00D334FE"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s </w:t>
      </w:r>
      <w:r w:rsid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van </w:t>
      </w:r>
      <w:proofErr w:type="spellStart"/>
      <w:r w:rsid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macrosomie</w:t>
      </w:r>
      <w:proofErr w:type="spellEnd"/>
      <w:r w:rsid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r w:rsidR="00D93139"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voor moeder en kind</w:t>
      </w:r>
      <w:r w:rsidR="00D334FE"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:</w:t>
      </w:r>
      <w:r w:rsidR="009A2C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  <w:r w:rsidR="009A2C54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D93139" w:rsidRPr="00602E3F">
        <w:rPr>
          <w:rFonts w:ascii="Arial" w:hAnsi="Arial" w:cs="Arial"/>
          <w:sz w:val="20"/>
          <w:szCs w:val="20"/>
        </w:rPr>
        <w:t xml:space="preserve">Indien er sprake is van </w:t>
      </w:r>
      <w:proofErr w:type="spellStart"/>
      <w:r w:rsidR="00D93139" w:rsidRPr="00602E3F">
        <w:rPr>
          <w:rFonts w:ascii="Arial" w:hAnsi="Arial" w:cs="Arial"/>
          <w:sz w:val="20"/>
          <w:szCs w:val="20"/>
        </w:rPr>
        <w:t>macrosomie</w:t>
      </w:r>
      <w:proofErr w:type="spellEnd"/>
      <w:r w:rsidR="00D93139" w:rsidRPr="00602E3F">
        <w:rPr>
          <w:rFonts w:ascii="Arial" w:hAnsi="Arial" w:cs="Arial"/>
          <w:sz w:val="20"/>
          <w:szCs w:val="20"/>
        </w:rPr>
        <w:t xml:space="preserve"> heeft</w:t>
      </w:r>
      <w:r w:rsidR="00D334FE" w:rsidRPr="00602E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NL"/>
        </w:rPr>
        <w:t> </w:t>
      </w:r>
      <w:r w:rsidR="00D93139" w:rsidRPr="00602E3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nl-NL"/>
        </w:rPr>
        <w:t>d</w:t>
      </w:r>
      <w:r w:rsidR="00B80F54" w:rsidRPr="00602E3F">
        <w:rPr>
          <w:rFonts w:ascii="Arial" w:hAnsi="Arial" w:cs="Arial"/>
          <w:sz w:val="20"/>
          <w:szCs w:val="20"/>
        </w:rPr>
        <w:t xml:space="preserve">e </w:t>
      </w:r>
      <w:r w:rsidR="00B80F54" w:rsidRPr="00602E3F">
        <w:rPr>
          <w:rFonts w:ascii="Arial" w:hAnsi="Arial" w:cs="Arial"/>
          <w:b/>
          <w:sz w:val="20"/>
          <w:szCs w:val="20"/>
        </w:rPr>
        <w:t>moeder</w:t>
      </w:r>
      <w:r w:rsidR="00B80F54" w:rsidRPr="00602E3F">
        <w:rPr>
          <w:rFonts w:ascii="Arial" w:hAnsi="Arial" w:cs="Arial"/>
          <w:sz w:val="20"/>
          <w:szCs w:val="20"/>
        </w:rPr>
        <w:t xml:space="preserve"> een verhoogd risico op</w:t>
      </w:r>
      <w:r w:rsidR="009A2C54">
        <w:rPr>
          <w:rFonts w:ascii="Arial" w:hAnsi="Arial" w:cs="Arial"/>
          <w:sz w:val="20"/>
          <w:szCs w:val="20"/>
        </w:rPr>
        <w:t>:</w:t>
      </w:r>
      <w:r w:rsidR="00B80F54" w:rsidRPr="00602E3F">
        <w:rPr>
          <w:rFonts w:ascii="Arial" w:hAnsi="Arial" w:cs="Arial"/>
          <w:sz w:val="20"/>
          <w:szCs w:val="20"/>
        </w:rPr>
        <w:t xml:space="preserve"> </w:t>
      </w:r>
    </w:p>
    <w:p w14:paraId="0107D144" w14:textId="77777777" w:rsidR="00B80F54" w:rsidRPr="00602E3F" w:rsidRDefault="00B80F54" w:rsidP="002A5004">
      <w:pPr>
        <w:pStyle w:val="Lijstalinea"/>
        <w:numPr>
          <w:ilvl w:val="0"/>
          <w:numId w:val="20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>een langdurige bevalling</w:t>
      </w:r>
    </w:p>
    <w:p w14:paraId="60F690A1" w14:textId="77777777" w:rsidR="00B80F54" w:rsidRPr="00602E3F" w:rsidRDefault="00B80F54" w:rsidP="00B80F54">
      <w:pPr>
        <w:pStyle w:val="Lijstalinea"/>
        <w:numPr>
          <w:ilvl w:val="0"/>
          <w:numId w:val="20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>kunstverlossing</w:t>
      </w:r>
    </w:p>
    <w:p w14:paraId="1909F975" w14:textId="77777777" w:rsidR="00B80F54" w:rsidRPr="00602E3F" w:rsidRDefault="00B80F54" w:rsidP="00B80F54">
      <w:pPr>
        <w:pStyle w:val="Lijstalinea"/>
        <w:numPr>
          <w:ilvl w:val="0"/>
          <w:numId w:val="20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>sectio caesarea</w:t>
      </w:r>
    </w:p>
    <w:p w14:paraId="5DCC42FA" w14:textId="77777777" w:rsidR="00B80F54" w:rsidRPr="00602E3F" w:rsidRDefault="00B80F54" w:rsidP="00B80F54">
      <w:pPr>
        <w:pStyle w:val="Lijstalinea"/>
        <w:numPr>
          <w:ilvl w:val="0"/>
          <w:numId w:val="20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 xml:space="preserve">3e of 4e </w:t>
      </w:r>
      <w:proofErr w:type="spellStart"/>
      <w:r w:rsidRPr="00602E3F">
        <w:rPr>
          <w:rFonts w:ascii="Arial" w:hAnsi="Arial" w:cs="Arial"/>
          <w:sz w:val="20"/>
          <w:szCs w:val="20"/>
        </w:rPr>
        <w:t>graads</w:t>
      </w:r>
      <w:proofErr w:type="spellEnd"/>
      <w:r w:rsidRPr="00602E3F">
        <w:rPr>
          <w:rFonts w:ascii="Arial" w:hAnsi="Arial" w:cs="Arial"/>
          <w:sz w:val="20"/>
          <w:szCs w:val="20"/>
        </w:rPr>
        <w:t xml:space="preserve"> ruptuur</w:t>
      </w:r>
    </w:p>
    <w:p w14:paraId="7A717A00" w14:textId="1C0D36C9" w:rsidR="000D194E" w:rsidRPr="00602E3F" w:rsidRDefault="00B80F54" w:rsidP="00B80F54">
      <w:pPr>
        <w:pStyle w:val="Lijstalinea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hAnsi="Arial" w:cs="Arial"/>
          <w:sz w:val="20"/>
          <w:szCs w:val="20"/>
        </w:rPr>
        <w:t xml:space="preserve">postpartum hemorragie (PPH) (&gt;1000ml) </w:t>
      </w:r>
    </w:p>
    <w:p w14:paraId="5B6C36DD" w14:textId="4435940B" w:rsidR="002A5004" w:rsidRDefault="002A5004" w:rsidP="00D334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67D54C5" w14:textId="77777777" w:rsidR="00FF144F" w:rsidRPr="00602E3F" w:rsidRDefault="00FF144F" w:rsidP="00D334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E06E84D" w14:textId="70AF2088" w:rsidR="00B80F54" w:rsidRPr="00602E3F" w:rsidRDefault="00B80F54" w:rsidP="00D33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lastRenderedPageBreak/>
        <w:t xml:space="preserve">Het </w:t>
      </w:r>
      <w:r w:rsidRPr="00602E3F">
        <w:rPr>
          <w:rFonts w:ascii="Arial" w:hAnsi="Arial" w:cs="Arial"/>
          <w:b/>
          <w:sz w:val="20"/>
          <w:szCs w:val="20"/>
        </w:rPr>
        <w:t>kind</w:t>
      </w:r>
      <w:r w:rsidRPr="00602E3F">
        <w:rPr>
          <w:rFonts w:ascii="Arial" w:hAnsi="Arial" w:cs="Arial"/>
          <w:sz w:val="20"/>
          <w:szCs w:val="20"/>
        </w:rPr>
        <w:t xml:space="preserve"> heeft een grotere kans op</w:t>
      </w:r>
      <w:r w:rsidR="002A3C8D">
        <w:rPr>
          <w:rFonts w:ascii="Arial" w:hAnsi="Arial" w:cs="Arial"/>
          <w:sz w:val="20"/>
          <w:szCs w:val="20"/>
        </w:rPr>
        <w:t>:</w:t>
      </w:r>
      <w:r w:rsidRPr="00602E3F">
        <w:rPr>
          <w:rFonts w:ascii="Arial" w:hAnsi="Arial" w:cs="Arial"/>
          <w:sz w:val="20"/>
          <w:szCs w:val="20"/>
        </w:rPr>
        <w:t xml:space="preserve"> </w:t>
      </w:r>
    </w:p>
    <w:p w14:paraId="65C76F3C" w14:textId="7D8D705D" w:rsidR="00B80F54" w:rsidRPr="00602E3F" w:rsidRDefault="00B80F54" w:rsidP="00D93139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 xml:space="preserve">een </w:t>
      </w:r>
      <w:proofErr w:type="spellStart"/>
      <w:r w:rsidRPr="00602E3F">
        <w:rPr>
          <w:rFonts w:ascii="Arial" w:hAnsi="Arial" w:cs="Arial"/>
          <w:sz w:val="20"/>
          <w:szCs w:val="20"/>
        </w:rPr>
        <w:t>schouderdystocie</w:t>
      </w:r>
      <w:proofErr w:type="spellEnd"/>
      <w:r w:rsidRPr="00602E3F">
        <w:rPr>
          <w:rFonts w:ascii="Arial" w:hAnsi="Arial" w:cs="Arial"/>
          <w:sz w:val="20"/>
          <w:szCs w:val="20"/>
        </w:rPr>
        <w:t xml:space="preserve"> met bijbehorende geboortetrauma (claviculafractuur, plexus </w:t>
      </w:r>
      <w:proofErr w:type="spellStart"/>
      <w:r w:rsidRPr="00602E3F">
        <w:rPr>
          <w:rFonts w:ascii="Arial" w:hAnsi="Arial" w:cs="Arial"/>
          <w:sz w:val="20"/>
          <w:szCs w:val="20"/>
        </w:rPr>
        <w:t>brachialis</w:t>
      </w:r>
      <w:proofErr w:type="spellEnd"/>
      <w:r w:rsidRPr="00602E3F">
        <w:rPr>
          <w:rFonts w:ascii="Arial" w:hAnsi="Arial" w:cs="Arial"/>
          <w:sz w:val="20"/>
          <w:szCs w:val="20"/>
        </w:rPr>
        <w:t xml:space="preserve"> beschadiging)</w:t>
      </w:r>
    </w:p>
    <w:p w14:paraId="19079CD5" w14:textId="361C8EE8" w:rsidR="00D93139" w:rsidRPr="00602E3F" w:rsidRDefault="00B80F54" w:rsidP="00D93139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>neonatale hypoglykemie</w:t>
      </w:r>
    </w:p>
    <w:p w14:paraId="4780113E" w14:textId="77777777" w:rsidR="00D93139" w:rsidRPr="00602E3F" w:rsidRDefault="00D93139" w:rsidP="00D334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0CE8F" w14:textId="3B3CF65F" w:rsidR="00D334FE" w:rsidRPr="00602E3F" w:rsidRDefault="00B80F54" w:rsidP="00D33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E3F">
        <w:rPr>
          <w:rFonts w:ascii="Arial" w:hAnsi="Arial" w:cs="Arial"/>
          <w:sz w:val="20"/>
          <w:szCs w:val="20"/>
        </w:rPr>
        <w:t xml:space="preserve">Het risico op een </w:t>
      </w:r>
      <w:proofErr w:type="spellStart"/>
      <w:r w:rsidRPr="00602E3F">
        <w:rPr>
          <w:rFonts w:ascii="Arial" w:hAnsi="Arial" w:cs="Arial"/>
          <w:sz w:val="20"/>
          <w:szCs w:val="20"/>
        </w:rPr>
        <w:t>schouderdystocie</w:t>
      </w:r>
      <w:proofErr w:type="spellEnd"/>
      <w:r w:rsidRPr="00602E3F">
        <w:rPr>
          <w:rFonts w:ascii="Arial" w:hAnsi="Arial" w:cs="Arial"/>
          <w:sz w:val="20"/>
          <w:szCs w:val="20"/>
        </w:rPr>
        <w:t>, PPH en sectio caesarea loopt significant op bij een hoger geboortegewicht.</w:t>
      </w:r>
    </w:p>
    <w:p w14:paraId="3C867FDB" w14:textId="5AD9D4F1" w:rsidR="003F1A07" w:rsidRDefault="003F1A07" w:rsidP="00D334FE">
      <w:pPr>
        <w:spacing w:before="4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205894FC" w14:textId="5A10CA27" w:rsidR="00D334FE" w:rsidRPr="00CF3D41" w:rsidRDefault="00D93139" w:rsidP="00BA4491">
      <w:pPr>
        <w:pStyle w:val="Lijstalinea"/>
        <w:numPr>
          <w:ilvl w:val="1"/>
          <w:numId w:val="34"/>
        </w:numPr>
        <w:spacing w:before="4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CF3D4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Screening</w:t>
      </w:r>
      <w:r w:rsidR="00D334FE" w:rsidRPr="00CF3D4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:</w:t>
      </w:r>
      <w:r w:rsidR="00D334FE" w:rsidRPr="00CF3D4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</w:p>
    <w:p w14:paraId="7B804A35" w14:textId="7E2C520C" w:rsidR="00084582" w:rsidRPr="00602E3F" w:rsidRDefault="00084582" w:rsidP="00084582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antenataal opsporen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is moeilijk. De testeigenschappen van </w:t>
      </w:r>
    </w:p>
    <w:p w14:paraId="5EDCD496" w14:textId="05B05D7C" w:rsidR="00084582" w:rsidRPr="00602E3F" w:rsidRDefault="00084582" w:rsidP="00084582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echoscopie en uitwendig onderzoek (UO) liggen dicht bij elkaar, sensitiviteit (echo: 22-44%; UO: 10-43%) en specificiteit (echo: 99%; UO: 95-99%). Voor de echoscopische biometrie wordt gebruik gemaakt van de curve van Verburg bij een HC, AC, FL of TCD en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Hadlock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bij het bepalen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estimated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fetal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weight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(EFW).</w:t>
      </w:r>
    </w:p>
    <w:p w14:paraId="247D09B3" w14:textId="77777777" w:rsidR="00926A00" w:rsidRPr="00602E3F" w:rsidRDefault="00926A00" w:rsidP="00926A00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BD476A2" w14:textId="33CA2425" w:rsidR="00084582" w:rsidRPr="00602E3F" w:rsidRDefault="00084582" w:rsidP="00084582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Indicaties echografie t.b.v. het opsporen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</w:p>
    <w:p w14:paraId="0F20BB1D" w14:textId="6EF30A60" w:rsidR="00084582" w:rsidRPr="00602E3F" w:rsidRDefault="00084582" w:rsidP="00084582">
      <w:pPr>
        <w:pStyle w:val="Lijstalinea"/>
        <w:numPr>
          <w:ilvl w:val="0"/>
          <w:numId w:val="22"/>
        </w:num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Positieve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dyscongruentie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14:paraId="0A6075E4" w14:textId="034060BE" w:rsidR="00084582" w:rsidRPr="00602E3F" w:rsidRDefault="00084582" w:rsidP="00084582">
      <w:pPr>
        <w:pStyle w:val="Lijstalinea"/>
        <w:numPr>
          <w:ilvl w:val="0"/>
          <w:numId w:val="22"/>
        </w:num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Moeilijk palpabele uterus </w:t>
      </w:r>
    </w:p>
    <w:p w14:paraId="1832B95F" w14:textId="48F46897" w:rsidR="00084582" w:rsidRPr="00602E3F" w:rsidRDefault="00084582" w:rsidP="00084582">
      <w:pPr>
        <w:pStyle w:val="Lijstalinea"/>
        <w:numPr>
          <w:ilvl w:val="0"/>
          <w:numId w:val="22"/>
        </w:num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BMI ≥ 30 kg/m2 </w:t>
      </w:r>
    </w:p>
    <w:p w14:paraId="6EB53A5F" w14:textId="0B41DEEF" w:rsidR="00084582" w:rsidRPr="00602E3F" w:rsidRDefault="00084582" w:rsidP="00084582">
      <w:pPr>
        <w:pStyle w:val="Lijstalinea"/>
        <w:numPr>
          <w:ilvl w:val="0"/>
          <w:numId w:val="22"/>
        </w:num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Verdenking op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polyhydramnion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14:paraId="45B84183" w14:textId="4B9C9EBC" w:rsidR="00084582" w:rsidRPr="00602E3F" w:rsidRDefault="00084582" w:rsidP="00084582">
      <w:pPr>
        <w:pStyle w:val="Lijstalinea"/>
        <w:numPr>
          <w:ilvl w:val="0"/>
          <w:numId w:val="22"/>
        </w:num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Gestoorde GDC/OGTT, (klinische) aanwijzingen voor zwangerschapsdiabetes </w:t>
      </w:r>
    </w:p>
    <w:p w14:paraId="1560A9C0" w14:textId="1B178592" w:rsidR="00920159" w:rsidRPr="00336F4B" w:rsidRDefault="00FE2A63" w:rsidP="00920159">
      <w:pPr>
        <w:pStyle w:val="Lijstalinea"/>
        <w:numPr>
          <w:ilvl w:val="0"/>
          <w:numId w:val="22"/>
        </w:num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 anamnese </w:t>
      </w:r>
      <w:r w:rsidR="00084582" w:rsidRPr="00336F4B">
        <w:rPr>
          <w:rFonts w:ascii="Arial" w:eastAsia="Times New Roman" w:hAnsi="Arial" w:cs="Arial"/>
          <w:sz w:val="20"/>
          <w:szCs w:val="20"/>
          <w:lang w:eastAsia="nl-NL"/>
        </w:rPr>
        <w:t>(p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A17003">
        <w:rPr>
          <w:rFonts w:ascii="Arial" w:hAnsi="Arial" w:cs="Arial"/>
          <w:sz w:val="20"/>
          <w:szCs w:val="20"/>
        </w:rPr>
        <w:t>≥</w:t>
      </w:r>
      <w:r>
        <w:rPr>
          <w:rFonts w:ascii="Arial" w:hAnsi="Arial" w:cs="Arial"/>
          <w:sz w:val="20"/>
          <w:szCs w:val="20"/>
        </w:rPr>
        <w:t xml:space="preserve"> </w:t>
      </w:r>
      <w:r w:rsidR="00084582" w:rsidRPr="00336F4B">
        <w:rPr>
          <w:rFonts w:ascii="Arial" w:eastAsia="Times New Roman" w:hAnsi="Arial" w:cs="Arial"/>
          <w:sz w:val="20"/>
          <w:szCs w:val="20"/>
          <w:lang w:eastAsia="nl-NL"/>
        </w:rPr>
        <w:t>9</w:t>
      </w:r>
      <w:r w:rsidR="00DC34A2" w:rsidRPr="00336F4B">
        <w:rPr>
          <w:rFonts w:ascii="Arial" w:eastAsia="Times New Roman" w:hAnsi="Arial" w:cs="Arial"/>
          <w:sz w:val="20"/>
          <w:szCs w:val="20"/>
          <w:lang w:eastAsia="nl-NL"/>
        </w:rPr>
        <w:t>5</w:t>
      </w:r>
      <w:r w:rsidR="00336F4B" w:rsidRPr="00336F4B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15428666" w14:textId="77777777" w:rsidR="00084582" w:rsidRPr="00602E3F" w:rsidRDefault="00084582" w:rsidP="00084582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10FE618E" w14:textId="1D01C70D" w:rsidR="00084582" w:rsidRPr="00602E3F" w:rsidRDefault="00084582" w:rsidP="00084582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Indien er een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polyhydramnion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vastgesteld wordt, is het advies een GUO2 uit te voeren</w:t>
      </w:r>
      <w:r w:rsidR="00926A00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indien GDC ongestoord is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</w:p>
    <w:p w14:paraId="09F13F8F" w14:textId="4A427295" w:rsidR="00084582" w:rsidRDefault="00084582" w:rsidP="00084582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0FE82CDC" w14:textId="1A71ED94" w:rsidR="00CF3D41" w:rsidRPr="00CF3D41" w:rsidRDefault="00EA3776" w:rsidP="00BA4491">
      <w:pPr>
        <w:pStyle w:val="Lijstalinea"/>
        <w:numPr>
          <w:ilvl w:val="1"/>
          <w:numId w:val="34"/>
        </w:numPr>
        <w:spacing w:before="4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CF3D41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Uitspreken ‘groot kind’ </w:t>
      </w:r>
    </w:p>
    <w:p w14:paraId="243F4EE4" w14:textId="77777777" w:rsidR="00EA3776" w:rsidRPr="00602E3F" w:rsidRDefault="00EA3776" w:rsidP="00EA3776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2BC25174" w14:textId="5B873993" w:rsidR="00EA3776" w:rsidRPr="00602E3F" w:rsidRDefault="00EA3776" w:rsidP="00EA3776">
      <w:p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Wees alert op taalgebruik richting de cliënt</w:t>
      </w:r>
      <w:r w:rsidR="00FE2A6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FE2A6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it een kwalitatief Iers onderzoek bleek dat vrouwen toenemende angstgevoelens jegens de baring hadden nadat er was verteld dat ze zwanger waren van een groot kind. (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Reid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2014) Bovendien laat onderzoek zien dat het antenataal vermoeden van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is geassocieerd met een toename van interventies zoals het inleiden van de baring en sectio caesarea. (KNOV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factsheet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NVOG diabetes,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Cheng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2015) Shared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decision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making en het benoemen van de testeigenschappen van echoscopie kan helpen in het gesprek met de cliënt.</w:t>
      </w:r>
    </w:p>
    <w:p w14:paraId="582B12AB" w14:textId="77777777" w:rsidR="00EA3776" w:rsidRDefault="00EA3776" w:rsidP="00A31976">
      <w:pPr>
        <w:pStyle w:val="Default"/>
        <w:rPr>
          <w:b/>
          <w:bCs/>
          <w:color w:val="auto"/>
          <w:sz w:val="20"/>
          <w:szCs w:val="20"/>
        </w:rPr>
      </w:pPr>
    </w:p>
    <w:p w14:paraId="7A5E01FA" w14:textId="6C2930C1" w:rsidR="00CF3D41" w:rsidRPr="00CF3D41" w:rsidRDefault="00A31976" w:rsidP="00BA4491">
      <w:pPr>
        <w:pStyle w:val="Default"/>
        <w:numPr>
          <w:ilvl w:val="1"/>
          <w:numId w:val="34"/>
        </w:numPr>
        <w:rPr>
          <w:b/>
          <w:bCs/>
          <w:color w:val="auto"/>
          <w:sz w:val="20"/>
          <w:szCs w:val="20"/>
        </w:rPr>
      </w:pPr>
      <w:r w:rsidRPr="00A31976">
        <w:rPr>
          <w:b/>
          <w:bCs/>
          <w:color w:val="auto"/>
          <w:sz w:val="20"/>
          <w:szCs w:val="20"/>
        </w:rPr>
        <w:t>Inleiding</w:t>
      </w:r>
      <w:r>
        <w:rPr>
          <w:b/>
          <w:bCs/>
          <w:color w:val="auto"/>
          <w:sz w:val="20"/>
          <w:szCs w:val="20"/>
        </w:rPr>
        <w:t xml:space="preserve"> versus afwachten</w:t>
      </w:r>
    </w:p>
    <w:p w14:paraId="170E210B" w14:textId="77777777" w:rsidR="00A31976" w:rsidRPr="00A31976" w:rsidRDefault="00A31976" w:rsidP="00A31976">
      <w:pPr>
        <w:pStyle w:val="Default"/>
        <w:rPr>
          <w:b/>
          <w:bCs/>
          <w:color w:val="auto"/>
          <w:sz w:val="20"/>
          <w:szCs w:val="20"/>
        </w:rPr>
      </w:pPr>
    </w:p>
    <w:p w14:paraId="671F34D3" w14:textId="77777777" w:rsidR="00A31976" w:rsidRPr="00A31976" w:rsidRDefault="00A31976" w:rsidP="00A31976">
      <w:pPr>
        <w:pStyle w:val="Default"/>
        <w:rPr>
          <w:sz w:val="20"/>
          <w:szCs w:val="20"/>
        </w:rPr>
      </w:pPr>
      <w:r w:rsidRPr="00A31976">
        <w:rPr>
          <w:sz w:val="20"/>
          <w:szCs w:val="20"/>
        </w:rPr>
        <w:t xml:space="preserve">Uit de systematische literatuuranalyse komt de systematische review van </w:t>
      </w:r>
      <w:proofErr w:type="spellStart"/>
      <w:r w:rsidRPr="00A31976">
        <w:rPr>
          <w:sz w:val="20"/>
          <w:szCs w:val="20"/>
        </w:rPr>
        <w:t>Boulvain</w:t>
      </w:r>
      <w:proofErr w:type="spellEnd"/>
      <w:r w:rsidRPr="00A31976">
        <w:rPr>
          <w:sz w:val="20"/>
          <w:szCs w:val="20"/>
        </w:rPr>
        <w:t xml:space="preserve"> (2016) naar voren die vier gerandomiseerde studies includeert waarin de effecten van inleiden, na 37 en voor 39 weken, versus expectatief beleid worden onderzocht bij een verwachte foetale </w:t>
      </w:r>
      <w:proofErr w:type="spellStart"/>
      <w:r w:rsidRPr="00A31976">
        <w:rPr>
          <w:sz w:val="20"/>
          <w:szCs w:val="20"/>
        </w:rPr>
        <w:t>macrosomie</w:t>
      </w:r>
      <w:proofErr w:type="spellEnd"/>
      <w:r w:rsidRPr="00A31976">
        <w:rPr>
          <w:sz w:val="20"/>
          <w:szCs w:val="20"/>
        </w:rPr>
        <w:t xml:space="preserve">. </w:t>
      </w:r>
    </w:p>
    <w:p w14:paraId="333A8148" w14:textId="77777777" w:rsidR="00A31976" w:rsidRPr="00A31976" w:rsidRDefault="00A31976" w:rsidP="00A31976">
      <w:pPr>
        <w:pStyle w:val="Default"/>
        <w:rPr>
          <w:sz w:val="20"/>
          <w:szCs w:val="20"/>
        </w:rPr>
      </w:pPr>
    </w:p>
    <w:p w14:paraId="667E7FF2" w14:textId="423A2F62" w:rsidR="00A31976" w:rsidRPr="00A31976" w:rsidRDefault="00A31976" w:rsidP="00A31976">
      <w:pPr>
        <w:pStyle w:val="Default"/>
        <w:rPr>
          <w:sz w:val="20"/>
          <w:szCs w:val="20"/>
        </w:rPr>
      </w:pPr>
      <w:r w:rsidRPr="00A05B3C">
        <w:rPr>
          <w:sz w:val="20"/>
          <w:szCs w:val="20"/>
        </w:rPr>
        <w:t>De belangrijkste bevindingen zijn dat inleiden mogelijk</w:t>
      </w:r>
      <w:r w:rsidRPr="00A31976">
        <w:rPr>
          <w:sz w:val="20"/>
          <w:szCs w:val="20"/>
        </w:rPr>
        <w:t xml:space="preserve"> een </w:t>
      </w:r>
      <w:r w:rsidRPr="00A31976">
        <w:rPr>
          <w:i/>
          <w:sz w:val="20"/>
          <w:szCs w:val="20"/>
        </w:rPr>
        <w:t xml:space="preserve">positief </w:t>
      </w:r>
      <w:r w:rsidRPr="00A31976">
        <w:rPr>
          <w:sz w:val="20"/>
          <w:szCs w:val="20"/>
        </w:rPr>
        <w:t xml:space="preserve">effect heeft op het voorkomen van </w:t>
      </w:r>
      <w:proofErr w:type="spellStart"/>
      <w:r w:rsidRPr="00A31976">
        <w:rPr>
          <w:sz w:val="20"/>
          <w:szCs w:val="20"/>
        </w:rPr>
        <w:t>schouderdystocie</w:t>
      </w:r>
      <w:proofErr w:type="spellEnd"/>
      <w:r w:rsidRPr="00A31976">
        <w:rPr>
          <w:sz w:val="20"/>
          <w:szCs w:val="20"/>
        </w:rPr>
        <w:t xml:space="preserve"> bij een verwachte foetale </w:t>
      </w:r>
      <w:proofErr w:type="spellStart"/>
      <w:r w:rsidRPr="00A31976">
        <w:rPr>
          <w:sz w:val="20"/>
          <w:szCs w:val="20"/>
        </w:rPr>
        <w:t>macrosomie</w:t>
      </w:r>
      <w:proofErr w:type="spellEnd"/>
      <w:r w:rsidRPr="00A31976">
        <w:rPr>
          <w:sz w:val="20"/>
          <w:szCs w:val="20"/>
        </w:rPr>
        <w:t xml:space="preserve">. </w:t>
      </w:r>
    </w:p>
    <w:p w14:paraId="1DFF4A1F" w14:textId="77777777" w:rsidR="00A31976" w:rsidRPr="00A31976" w:rsidRDefault="00A31976" w:rsidP="00A31976">
      <w:pPr>
        <w:pStyle w:val="Default"/>
        <w:rPr>
          <w:sz w:val="20"/>
          <w:szCs w:val="20"/>
        </w:rPr>
      </w:pPr>
      <w:r w:rsidRPr="00A31976">
        <w:rPr>
          <w:sz w:val="20"/>
          <w:szCs w:val="20"/>
        </w:rPr>
        <w:t>De meta-analyse laat zien dat 24/590 (</w:t>
      </w:r>
      <w:r w:rsidRPr="00A31976">
        <w:rPr>
          <w:b/>
          <w:sz w:val="20"/>
          <w:szCs w:val="20"/>
        </w:rPr>
        <w:t>4,1%)</w:t>
      </w:r>
      <w:r w:rsidRPr="00A31976">
        <w:rPr>
          <w:sz w:val="20"/>
          <w:szCs w:val="20"/>
        </w:rPr>
        <w:t xml:space="preserve"> kinderen met verwachte </w:t>
      </w:r>
      <w:proofErr w:type="spellStart"/>
      <w:r w:rsidRPr="00A31976">
        <w:rPr>
          <w:sz w:val="20"/>
          <w:szCs w:val="20"/>
        </w:rPr>
        <w:t>macrosomie</w:t>
      </w:r>
      <w:proofErr w:type="spellEnd"/>
      <w:r w:rsidRPr="00A31976">
        <w:rPr>
          <w:sz w:val="20"/>
          <w:szCs w:val="20"/>
        </w:rPr>
        <w:t xml:space="preserve"> een </w:t>
      </w:r>
      <w:proofErr w:type="spellStart"/>
      <w:r w:rsidRPr="00A31976">
        <w:rPr>
          <w:sz w:val="20"/>
          <w:szCs w:val="20"/>
        </w:rPr>
        <w:t>schouderdystocie</w:t>
      </w:r>
      <w:proofErr w:type="spellEnd"/>
      <w:r w:rsidRPr="00A31976">
        <w:rPr>
          <w:sz w:val="20"/>
          <w:szCs w:val="20"/>
        </w:rPr>
        <w:t xml:space="preserve"> hadden na inleiden, vs. 41/600 (</w:t>
      </w:r>
      <w:r w:rsidRPr="00A31976">
        <w:rPr>
          <w:b/>
          <w:sz w:val="20"/>
          <w:szCs w:val="20"/>
        </w:rPr>
        <w:t>6,8%</w:t>
      </w:r>
      <w:r w:rsidRPr="00A31976">
        <w:rPr>
          <w:sz w:val="20"/>
          <w:szCs w:val="20"/>
        </w:rPr>
        <w:t xml:space="preserve">) na expectatief beleid. </w:t>
      </w:r>
    </w:p>
    <w:p w14:paraId="65CB4D9E" w14:textId="4D3898FE" w:rsidR="00A31976" w:rsidRPr="00A31976" w:rsidRDefault="00A31976" w:rsidP="00A31976">
      <w:pPr>
        <w:pStyle w:val="Default"/>
        <w:rPr>
          <w:sz w:val="20"/>
          <w:szCs w:val="20"/>
        </w:rPr>
      </w:pPr>
      <w:r w:rsidRPr="00A31976">
        <w:rPr>
          <w:sz w:val="20"/>
          <w:szCs w:val="20"/>
        </w:rPr>
        <w:t xml:space="preserve">Verder laten de resultaten zien dat mogelijk ten gevolge van inleiden er minder kinderen met verwachte </w:t>
      </w:r>
      <w:proofErr w:type="spellStart"/>
      <w:r w:rsidRPr="00A31976">
        <w:rPr>
          <w:sz w:val="20"/>
          <w:szCs w:val="20"/>
        </w:rPr>
        <w:t>macrosomie</w:t>
      </w:r>
      <w:proofErr w:type="spellEnd"/>
      <w:r w:rsidRPr="00A31976">
        <w:rPr>
          <w:sz w:val="20"/>
          <w:szCs w:val="20"/>
        </w:rPr>
        <w:t xml:space="preserve"> een fractuur hebben in vergelijking met expectatief beleid (</w:t>
      </w:r>
      <w:r w:rsidRPr="00A31976">
        <w:rPr>
          <w:b/>
          <w:sz w:val="20"/>
          <w:szCs w:val="20"/>
        </w:rPr>
        <w:t>0,3% vs. 2%</w:t>
      </w:r>
      <w:r w:rsidRPr="00A31976">
        <w:rPr>
          <w:sz w:val="20"/>
          <w:szCs w:val="20"/>
        </w:rPr>
        <w:t xml:space="preserve">). </w:t>
      </w:r>
    </w:p>
    <w:p w14:paraId="436D95BE" w14:textId="77777777" w:rsidR="00A31976" w:rsidRPr="00A31976" w:rsidRDefault="00A31976" w:rsidP="00A31976">
      <w:pPr>
        <w:pStyle w:val="Default"/>
        <w:rPr>
          <w:sz w:val="20"/>
          <w:szCs w:val="20"/>
        </w:rPr>
      </w:pPr>
    </w:p>
    <w:p w14:paraId="5E1670B7" w14:textId="0F5232AD" w:rsidR="00A31976" w:rsidRDefault="00A31976" w:rsidP="00A31976">
      <w:pPr>
        <w:pStyle w:val="Default"/>
        <w:rPr>
          <w:sz w:val="20"/>
          <w:szCs w:val="20"/>
        </w:rPr>
      </w:pPr>
      <w:r w:rsidRPr="00A31976">
        <w:rPr>
          <w:sz w:val="20"/>
          <w:szCs w:val="20"/>
        </w:rPr>
        <w:t xml:space="preserve">Er werden </w:t>
      </w:r>
      <w:r w:rsidRPr="00A31976">
        <w:rPr>
          <w:i/>
          <w:sz w:val="20"/>
          <w:szCs w:val="20"/>
        </w:rPr>
        <w:t>geen</w:t>
      </w:r>
      <w:r w:rsidRPr="00A31976">
        <w:rPr>
          <w:sz w:val="20"/>
          <w:szCs w:val="20"/>
        </w:rPr>
        <w:t xml:space="preserve"> verschillen gevonden tussen inleiden versus expectatief beleid voor de uitkomsten: neonatale mortaliteit, plexus </w:t>
      </w:r>
      <w:proofErr w:type="spellStart"/>
      <w:r w:rsidRPr="00A31976">
        <w:rPr>
          <w:sz w:val="20"/>
          <w:szCs w:val="20"/>
        </w:rPr>
        <w:t>brachialis</w:t>
      </w:r>
      <w:proofErr w:type="spellEnd"/>
      <w:r w:rsidRPr="00A31976">
        <w:rPr>
          <w:sz w:val="20"/>
          <w:szCs w:val="20"/>
        </w:rPr>
        <w:t xml:space="preserve"> laesie, aantal kinderen met een </w:t>
      </w:r>
      <w:proofErr w:type="spellStart"/>
      <w:r w:rsidRPr="00A31976">
        <w:rPr>
          <w:sz w:val="20"/>
          <w:szCs w:val="20"/>
        </w:rPr>
        <w:t>apgarscore</w:t>
      </w:r>
      <w:proofErr w:type="spellEnd"/>
      <w:r w:rsidRPr="00A31976">
        <w:rPr>
          <w:sz w:val="20"/>
          <w:szCs w:val="20"/>
        </w:rPr>
        <w:t xml:space="preserve"> &lt; 7, aantal kinderen met arteriële pH (&lt; 7,10), het aantal NICU-opnames en het aantal sectio’s. </w:t>
      </w:r>
    </w:p>
    <w:p w14:paraId="77E0DC7B" w14:textId="77777777" w:rsidR="00A05B3C" w:rsidRPr="00A31976" w:rsidRDefault="00A05B3C" w:rsidP="00A31976">
      <w:pPr>
        <w:pStyle w:val="Default"/>
        <w:rPr>
          <w:sz w:val="20"/>
          <w:szCs w:val="20"/>
        </w:rPr>
      </w:pPr>
    </w:p>
    <w:p w14:paraId="19DB8A15" w14:textId="77777777" w:rsidR="002A5004" w:rsidRDefault="00A31976" w:rsidP="002A5004">
      <w:pPr>
        <w:pStyle w:val="Default"/>
        <w:rPr>
          <w:rFonts w:eastAsia="Times New Roman"/>
          <w:b/>
          <w:bCs/>
          <w:sz w:val="20"/>
          <w:szCs w:val="20"/>
          <w:lang w:eastAsia="nl-NL"/>
        </w:rPr>
      </w:pPr>
      <w:r w:rsidRPr="00A31976">
        <w:rPr>
          <w:color w:val="auto"/>
          <w:sz w:val="20"/>
          <w:szCs w:val="20"/>
        </w:rPr>
        <w:t xml:space="preserve">De studie van </w:t>
      </w:r>
      <w:proofErr w:type="spellStart"/>
      <w:r w:rsidRPr="00A31976">
        <w:rPr>
          <w:color w:val="auto"/>
          <w:sz w:val="20"/>
          <w:szCs w:val="20"/>
        </w:rPr>
        <w:t>Boulvain</w:t>
      </w:r>
      <w:proofErr w:type="spellEnd"/>
      <w:r w:rsidRPr="00A31976">
        <w:rPr>
          <w:color w:val="auto"/>
          <w:sz w:val="20"/>
          <w:szCs w:val="20"/>
        </w:rPr>
        <w:t xml:space="preserve"> (2015) rapporteert dat kinderen gerandomiseerd in de groep ‘inleiding’ (met name kinderen ingeleid &lt; 38 weken) vaker fototherapie nodig hadden dan kinderen in de controlegroep (</w:t>
      </w:r>
      <w:r w:rsidRPr="00A31976">
        <w:rPr>
          <w:b/>
          <w:color w:val="auto"/>
          <w:sz w:val="20"/>
          <w:szCs w:val="20"/>
        </w:rPr>
        <w:t>13% vs. 7%</w:t>
      </w:r>
      <w:r w:rsidRPr="00A31976">
        <w:rPr>
          <w:color w:val="auto"/>
          <w:sz w:val="20"/>
          <w:szCs w:val="20"/>
        </w:rPr>
        <w:t xml:space="preserve">). Overweeg daarom de noodzaak voor fototherapie mee te nemen in de afweging voor inleiden, en de timing daarvan, in het counselingsgesprek. </w:t>
      </w:r>
      <w:r w:rsidR="002A5004">
        <w:rPr>
          <w:color w:val="auto"/>
          <w:sz w:val="20"/>
          <w:szCs w:val="20"/>
        </w:rPr>
        <w:br/>
      </w:r>
    </w:p>
    <w:p w14:paraId="23559871" w14:textId="03A73DCA" w:rsidR="00CF3D41" w:rsidRPr="00CF3D41" w:rsidRDefault="003A4E3B" w:rsidP="00BA4491">
      <w:pPr>
        <w:pStyle w:val="Default"/>
        <w:numPr>
          <w:ilvl w:val="1"/>
          <w:numId w:val="34"/>
        </w:numPr>
        <w:rPr>
          <w:rFonts w:eastAsia="Times New Roman"/>
          <w:b/>
          <w:bCs/>
          <w:sz w:val="20"/>
          <w:szCs w:val="20"/>
          <w:lang w:eastAsia="nl-NL"/>
        </w:rPr>
      </w:pPr>
      <w:r w:rsidRPr="00C269BB">
        <w:rPr>
          <w:rFonts w:eastAsia="Times New Roman"/>
          <w:b/>
          <w:bCs/>
          <w:sz w:val="20"/>
          <w:szCs w:val="20"/>
          <w:lang w:eastAsia="nl-NL"/>
        </w:rPr>
        <w:lastRenderedPageBreak/>
        <w:t>Conclusie</w:t>
      </w:r>
      <w:r w:rsidR="00CF3D41">
        <w:rPr>
          <w:rFonts w:eastAsia="Times New Roman"/>
          <w:b/>
          <w:bCs/>
          <w:sz w:val="20"/>
          <w:szCs w:val="20"/>
          <w:lang w:eastAsia="nl-NL"/>
        </w:rPr>
        <w:br/>
      </w:r>
    </w:p>
    <w:p w14:paraId="64B6179C" w14:textId="77777777" w:rsidR="00EA3776" w:rsidRDefault="00336F4B" w:rsidP="00EA3776">
      <w:pPr>
        <w:pStyle w:val="Default"/>
        <w:numPr>
          <w:ilvl w:val="0"/>
          <w:numId w:val="31"/>
        </w:numPr>
        <w:rPr>
          <w:rFonts w:eastAsia="Times New Roman"/>
          <w:sz w:val="20"/>
          <w:szCs w:val="20"/>
          <w:lang w:eastAsia="nl-NL"/>
        </w:rPr>
      </w:pPr>
      <w:r w:rsidRPr="00336F4B">
        <w:rPr>
          <w:rFonts w:eastAsia="Times New Roman"/>
          <w:sz w:val="20"/>
          <w:szCs w:val="20"/>
          <w:lang w:eastAsia="nl-NL"/>
        </w:rPr>
        <w:t>Wees je als zorgverlener bewust dat de voorspellende waarde van zowel uitwendig onderzoek als echoscopisch onderzoek laag is</w:t>
      </w:r>
      <w:r w:rsidR="00393F68">
        <w:rPr>
          <w:rFonts w:eastAsia="Times New Roman"/>
          <w:sz w:val="20"/>
          <w:szCs w:val="20"/>
          <w:lang w:eastAsia="nl-NL"/>
        </w:rPr>
        <w:t xml:space="preserve"> en daardoor de </w:t>
      </w:r>
      <w:r w:rsidRPr="00336F4B">
        <w:rPr>
          <w:rFonts w:eastAsia="Times New Roman"/>
          <w:sz w:val="20"/>
          <w:szCs w:val="20"/>
          <w:lang w:eastAsia="nl-NL"/>
        </w:rPr>
        <w:t xml:space="preserve">beperkte voorspelbaarheid van </w:t>
      </w:r>
      <w:proofErr w:type="spellStart"/>
      <w:r w:rsidRPr="00336F4B">
        <w:rPr>
          <w:rFonts w:eastAsia="Times New Roman"/>
          <w:sz w:val="20"/>
          <w:szCs w:val="20"/>
          <w:lang w:eastAsia="nl-NL"/>
        </w:rPr>
        <w:t>macrosomie</w:t>
      </w:r>
      <w:proofErr w:type="spellEnd"/>
      <w:r w:rsidR="00393F68">
        <w:rPr>
          <w:rFonts w:eastAsia="Times New Roman"/>
          <w:sz w:val="20"/>
          <w:szCs w:val="20"/>
          <w:lang w:eastAsia="nl-NL"/>
        </w:rPr>
        <w:t xml:space="preserve">. </w:t>
      </w:r>
    </w:p>
    <w:p w14:paraId="62BD1F63" w14:textId="2897221B" w:rsidR="00EA3776" w:rsidRDefault="00393F68" w:rsidP="00EA3776">
      <w:pPr>
        <w:pStyle w:val="Default"/>
        <w:numPr>
          <w:ilvl w:val="0"/>
          <w:numId w:val="31"/>
        </w:numPr>
        <w:rPr>
          <w:rFonts w:eastAsia="Times New Roman"/>
          <w:sz w:val="20"/>
          <w:szCs w:val="20"/>
          <w:lang w:eastAsia="nl-NL"/>
        </w:rPr>
      </w:pPr>
      <w:r w:rsidRPr="00EA3776">
        <w:rPr>
          <w:rFonts w:eastAsia="Times New Roman"/>
          <w:sz w:val="20"/>
          <w:szCs w:val="20"/>
          <w:lang w:eastAsia="nl-NL"/>
        </w:rPr>
        <w:t>Wees je bewust van het effect</w:t>
      </w:r>
      <w:r w:rsidR="00336F4B" w:rsidRPr="00EA3776">
        <w:rPr>
          <w:rFonts w:eastAsia="Times New Roman"/>
          <w:sz w:val="20"/>
          <w:szCs w:val="20"/>
          <w:lang w:eastAsia="nl-NL"/>
        </w:rPr>
        <w:t xml:space="preserve"> en de gevolgen van het uitspreken van een verwacht groot kind</w:t>
      </w:r>
      <w:r w:rsidRPr="00EA3776">
        <w:rPr>
          <w:rFonts w:eastAsia="Times New Roman"/>
          <w:sz w:val="20"/>
          <w:szCs w:val="20"/>
          <w:lang w:eastAsia="nl-NL"/>
        </w:rPr>
        <w:t xml:space="preserve"> op zowel de zwangere als de zorgverleners</w:t>
      </w:r>
      <w:r w:rsidR="001643DD">
        <w:rPr>
          <w:rFonts w:eastAsia="Times New Roman"/>
          <w:sz w:val="20"/>
          <w:szCs w:val="20"/>
          <w:lang w:eastAsia="nl-NL"/>
        </w:rPr>
        <w:t>.</w:t>
      </w:r>
    </w:p>
    <w:p w14:paraId="5521C1E8" w14:textId="7115BFEB" w:rsidR="00EA3776" w:rsidRPr="00EA3776" w:rsidRDefault="003862B6" w:rsidP="00EA3776">
      <w:pPr>
        <w:pStyle w:val="Default"/>
        <w:numPr>
          <w:ilvl w:val="0"/>
          <w:numId w:val="31"/>
        </w:numPr>
        <w:rPr>
          <w:rFonts w:eastAsia="Times New Roman"/>
          <w:sz w:val="20"/>
          <w:szCs w:val="20"/>
          <w:lang w:eastAsia="nl-NL"/>
        </w:rPr>
      </w:pPr>
      <w:r w:rsidRPr="00EA3776">
        <w:rPr>
          <w:sz w:val="20"/>
          <w:szCs w:val="20"/>
        </w:rPr>
        <w:t xml:space="preserve">Bespreek met vrouwen met foetale </w:t>
      </w:r>
      <w:proofErr w:type="spellStart"/>
      <w:r w:rsidRPr="00EA3776">
        <w:rPr>
          <w:sz w:val="20"/>
          <w:szCs w:val="20"/>
        </w:rPr>
        <w:t>macrosomie</w:t>
      </w:r>
      <w:proofErr w:type="spellEnd"/>
      <w:r w:rsidRPr="00EA3776">
        <w:rPr>
          <w:sz w:val="20"/>
          <w:szCs w:val="20"/>
        </w:rPr>
        <w:t xml:space="preserve">* (= foetus </w:t>
      </w:r>
      <w:r w:rsidRPr="00EA3776">
        <w:rPr>
          <w:color w:val="auto"/>
          <w:sz w:val="20"/>
          <w:szCs w:val="20"/>
        </w:rPr>
        <w:t xml:space="preserve">met </w:t>
      </w:r>
      <w:r w:rsidRPr="00EA3776">
        <w:rPr>
          <w:i/>
          <w:color w:val="auto"/>
          <w:sz w:val="20"/>
          <w:szCs w:val="20"/>
        </w:rPr>
        <w:t xml:space="preserve">FAC </w:t>
      </w:r>
      <w:r w:rsidRPr="00EA3776">
        <w:rPr>
          <w:color w:val="auto"/>
          <w:sz w:val="20"/>
          <w:szCs w:val="20"/>
        </w:rPr>
        <w:t>≥ p95 en/of EFW ≥</w:t>
      </w:r>
      <w:r w:rsidR="00FE2A63">
        <w:rPr>
          <w:color w:val="auto"/>
          <w:sz w:val="20"/>
          <w:szCs w:val="20"/>
        </w:rPr>
        <w:t xml:space="preserve"> </w:t>
      </w:r>
      <w:r w:rsidRPr="00EA3776">
        <w:rPr>
          <w:color w:val="auto"/>
          <w:sz w:val="20"/>
          <w:szCs w:val="20"/>
        </w:rPr>
        <w:t>p95 of geschat geboortegewicht ≥</w:t>
      </w:r>
      <w:r w:rsidR="00FE2A63">
        <w:rPr>
          <w:color w:val="auto"/>
          <w:sz w:val="20"/>
          <w:szCs w:val="20"/>
        </w:rPr>
        <w:t xml:space="preserve"> </w:t>
      </w:r>
      <w:r w:rsidRPr="00EA3776">
        <w:rPr>
          <w:color w:val="auto"/>
          <w:sz w:val="20"/>
          <w:szCs w:val="20"/>
        </w:rPr>
        <w:t xml:space="preserve">4500 g) </w:t>
      </w:r>
      <w:r w:rsidRPr="00EA3776">
        <w:rPr>
          <w:sz w:val="20"/>
          <w:szCs w:val="20"/>
        </w:rPr>
        <w:t xml:space="preserve">dat de kans op </w:t>
      </w:r>
      <w:proofErr w:type="spellStart"/>
      <w:r w:rsidRPr="00EA3776">
        <w:rPr>
          <w:sz w:val="20"/>
          <w:szCs w:val="20"/>
        </w:rPr>
        <w:t>schouderdystocie</w:t>
      </w:r>
      <w:proofErr w:type="spellEnd"/>
      <w:r w:rsidRPr="00EA3776">
        <w:rPr>
          <w:sz w:val="20"/>
          <w:szCs w:val="20"/>
        </w:rPr>
        <w:t xml:space="preserve"> en complicaties daarvan kleiner is bij inleiden voor de à </w:t>
      </w:r>
      <w:proofErr w:type="spellStart"/>
      <w:r w:rsidRPr="00EA3776">
        <w:rPr>
          <w:sz w:val="20"/>
          <w:szCs w:val="20"/>
        </w:rPr>
        <w:t>terme</w:t>
      </w:r>
      <w:proofErr w:type="spellEnd"/>
      <w:r w:rsidRPr="00EA3776">
        <w:rPr>
          <w:sz w:val="20"/>
          <w:szCs w:val="20"/>
        </w:rPr>
        <w:t xml:space="preserve"> datum. </w:t>
      </w:r>
    </w:p>
    <w:p w14:paraId="69C2D2A5" w14:textId="77777777" w:rsidR="00EA3776" w:rsidRDefault="003862B6" w:rsidP="00EA3776">
      <w:pPr>
        <w:pStyle w:val="Default"/>
        <w:numPr>
          <w:ilvl w:val="0"/>
          <w:numId w:val="31"/>
        </w:numPr>
        <w:rPr>
          <w:rFonts w:eastAsia="Times New Roman"/>
          <w:sz w:val="20"/>
          <w:szCs w:val="20"/>
          <w:lang w:eastAsia="nl-NL"/>
        </w:rPr>
      </w:pPr>
      <w:r w:rsidRPr="00EA3776">
        <w:rPr>
          <w:sz w:val="20"/>
          <w:szCs w:val="20"/>
        </w:rPr>
        <w:t>Bespreek</w:t>
      </w:r>
      <w:r w:rsidRPr="00EA3776">
        <w:rPr>
          <w:color w:val="auto"/>
          <w:sz w:val="20"/>
          <w:szCs w:val="20"/>
        </w:rPr>
        <w:t xml:space="preserve"> de voor- en nadelen van een eventuele </w:t>
      </w:r>
      <w:r w:rsidRPr="00EA3776">
        <w:rPr>
          <w:sz w:val="20"/>
          <w:szCs w:val="20"/>
        </w:rPr>
        <w:t xml:space="preserve">inleiding. Bij wens tot inleiden: bij voorkeur plannen tussen 38-39 weken. </w:t>
      </w:r>
    </w:p>
    <w:p w14:paraId="66877A13" w14:textId="6A70982C" w:rsidR="003F1A07" w:rsidRPr="00EA3776" w:rsidRDefault="003862B6" w:rsidP="00EA3776">
      <w:pPr>
        <w:pStyle w:val="Default"/>
        <w:numPr>
          <w:ilvl w:val="0"/>
          <w:numId w:val="31"/>
        </w:numPr>
        <w:rPr>
          <w:rFonts w:eastAsia="Times New Roman"/>
          <w:sz w:val="20"/>
          <w:szCs w:val="20"/>
          <w:lang w:eastAsia="nl-NL"/>
        </w:rPr>
      </w:pPr>
      <w:r w:rsidRPr="00EA3776">
        <w:rPr>
          <w:sz w:val="20"/>
          <w:szCs w:val="20"/>
        </w:rPr>
        <w:t>Bespreek het verhoogde risico op fototherapie, zeker bij een inleiding &lt;</w:t>
      </w:r>
      <w:r w:rsidR="00FE2A63">
        <w:rPr>
          <w:sz w:val="20"/>
          <w:szCs w:val="20"/>
        </w:rPr>
        <w:t xml:space="preserve"> </w:t>
      </w:r>
      <w:r w:rsidRPr="00EA3776">
        <w:rPr>
          <w:sz w:val="20"/>
          <w:szCs w:val="20"/>
        </w:rPr>
        <w:t>38 weken.</w:t>
      </w:r>
      <w:r w:rsidR="003F1A07" w:rsidRPr="00EA3776">
        <w:rPr>
          <w:sz w:val="20"/>
          <w:szCs w:val="20"/>
        </w:rPr>
        <w:t xml:space="preserve"> </w:t>
      </w:r>
    </w:p>
    <w:p w14:paraId="0236CD8A" w14:textId="77777777" w:rsidR="00BB0743" w:rsidRPr="00602E3F" w:rsidRDefault="00BB0743" w:rsidP="003A4E3B">
      <w:pPr>
        <w:pStyle w:val="Default"/>
        <w:rPr>
          <w:sz w:val="20"/>
          <w:szCs w:val="20"/>
        </w:rPr>
      </w:pPr>
    </w:p>
    <w:p w14:paraId="150E80C1" w14:textId="312AF5FE" w:rsidR="00C269BB" w:rsidRPr="00EA3E04" w:rsidRDefault="00C269BB" w:rsidP="00EA3E04">
      <w:pPr>
        <w:pStyle w:val="Lijstalinea"/>
        <w:numPr>
          <w:ilvl w:val="0"/>
          <w:numId w:val="33"/>
        </w:numPr>
        <w:spacing w:before="240" w:after="0" w:line="240" w:lineRule="auto"/>
        <w:rPr>
          <w:rFonts w:ascii="Arial" w:eastAsia="Times New Roman" w:hAnsi="Arial" w:cs="Arial"/>
          <w:lang w:eastAsia="nl-NL"/>
        </w:rPr>
      </w:pPr>
      <w:r w:rsidRPr="00EA3E04">
        <w:rPr>
          <w:rFonts w:ascii="Arial" w:eastAsia="Times New Roman" w:hAnsi="Arial" w:cs="Arial"/>
          <w:b/>
          <w:bCs/>
          <w:color w:val="000000"/>
          <w:lang w:eastAsia="nl-NL"/>
        </w:rPr>
        <w:t>Bevoegdheden</w:t>
      </w:r>
      <w:r w:rsidRPr="00EA3E04">
        <w:rPr>
          <w:rFonts w:ascii="Arial" w:eastAsia="Times New Roman" w:hAnsi="Arial" w:cs="Arial"/>
          <w:b/>
          <w:bCs/>
          <w:color w:val="000000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274"/>
        <w:gridCol w:w="274"/>
        <w:gridCol w:w="274"/>
        <w:gridCol w:w="274"/>
        <w:gridCol w:w="274"/>
      </w:tblGrid>
      <w:tr w:rsidR="00C269BB" w:rsidRPr="00602E3F" w14:paraId="733645EA" w14:textId="77777777" w:rsidTr="00745D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E311F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Vaardigheden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F5743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39FD8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82100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6B679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2FFA5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C269BB" w:rsidRPr="00602E3F" w14:paraId="2EA8D65B" w14:textId="77777777" w:rsidTr="00745D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50E35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Echo biometrie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EC5D2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7D678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B7084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85742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880FA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C269BB" w:rsidRPr="00602E3F" w14:paraId="6F698894" w14:textId="77777777" w:rsidTr="00745D0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42B51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Counseling inleiden of afwachten bij </w:t>
            </w:r>
            <w:proofErr w:type="spellStart"/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macrosomie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6E7620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69033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6E7EA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BF1B8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50765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269BB" w:rsidRPr="00602E3F" w14:paraId="3546B87D" w14:textId="77777777" w:rsidTr="00745D0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97C45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Inplannen inleiding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12921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8419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F73E5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F69A" w14:textId="77777777" w:rsidR="00C269BB" w:rsidRPr="00602E3F" w:rsidRDefault="00C269BB" w:rsidP="0074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A46B0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269BB" w:rsidRPr="00602E3F" w14:paraId="2EF64BC9" w14:textId="77777777" w:rsidTr="00745D0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0521F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B70BC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0D7B5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FF486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4943E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7E704" w14:textId="77777777" w:rsidR="00C269BB" w:rsidRPr="00602E3F" w:rsidRDefault="00C269BB" w:rsidP="00745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D5BBBB3" w14:textId="41FA2B26" w:rsidR="00C269BB" w:rsidRPr="00CF3D41" w:rsidRDefault="00C269BB" w:rsidP="00CF3D41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Verklaring bevoegdheden; 1 = 1</w:t>
      </w:r>
      <w:r w:rsidRPr="00602E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l-NL"/>
        </w:rPr>
        <w:t>e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lijns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verloskundige 2=klinisch verloskundige, 3 = gynaecoloog 4= arts assistent. 5=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echoscopiste</w:t>
      </w:r>
      <w:proofErr w:type="spellEnd"/>
    </w:p>
    <w:p w14:paraId="5B3CEFEF" w14:textId="7C24BDB5" w:rsidR="002A5004" w:rsidRPr="00EA3E04" w:rsidRDefault="002A5004" w:rsidP="00EA3E04">
      <w:pPr>
        <w:pStyle w:val="Lijstalinea"/>
        <w:numPr>
          <w:ilvl w:val="0"/>
          <w:numId w:val="33"/>
        </w:numPr>
        <w:spacing w:before="240" w:after="0" w:line="240" w:lineRule="auto"/>
        <w:rPr>
          <w:rFonts w:ascii="Arial" w:eastAsia="Times New Roman" w:hAnsi="Arial" w:cs="Arial"/>
          <w:lang w:eastAsia="nl-NL"/>
        </w:rPr>
      </w:pPr>
      <w:r w:rsidRPr="00EA3E04">
        <w:rPr>
          <w:rFonts w:ascii="Arial" w:eastAsia="Times New Roman" w:hAnsi="Arial" w:cs="Arial"/>
          <w:b/>
          <w:bCs/>
          <w:color w:val="000000"/>
          <w:lang w:eastAsia="nl-NL"/>
        </w:rPr>
        <w:t>Beleid</w:t>
      </w:r>
      <w:r w:rsidRPr="00EA3E04">
        <w:rPr>
          <w:rFonts w:ascii="Arial" w:eastAsia="Times New Roman" w:hAnsi="Arial" w:cs="Arial"/>
          <w:b/>
          <w:bCs/>
          <w:color w:val="000000"/>
          <w:lang w:eastAsia="nl-NL"/>
        </w:rPr>
        <w:br/>
      </w:r>
    </w:p>
    <w:tbl>
      <w:tblPr>
        <w:tblStyle w:val="Tabelraster"/>
        <w:tblW w:w="0" w:type="auto"/>
        <w:shd w:val="clear" w:color="auto" w:fill="D2C6C1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2A5004" w:rsidRPr="00A17003" w14:paraId="31B67CAD" w14:textId="77777777" w:rsidTr="00745D05">
        <w:tc>
          <w:tcPr>
            <w:tcW w:w="9062" w:type="dxa"/>
            <w:shd w:val="clear" w:color="auto" w:fill="D2C6C1" w:themeFill="background2" w:themeFillShade="E6"/>
          </w:tcPr>
          <w:p w14:paraId="4BCD7C77" w14:textId="12DCF094" w:rsidR="002A5004" w:rsidRPr="00A17003" w:rsidRDefault="002A5004" w:rsidP="00745D05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een AC en/of EFW ≥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p95 (ongeacht termijn) </w:t>
            </w:r>
            <w:r w:rsidR="00BA449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of een sterk toenemende AC percentiel op de curve 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wordt er een GDC verricht.</w:t>
            </w:r>
          </w:p>
          <w:p w14:paraId="252CB680" w14:textId="77777777" w:rsidR="002A5004" w:rsidRPr="00A17003" w:rsidRDefault="002A5004" w:rsidP="00745D05">
            <w:pPr>
              <w:pStyle w:val="Lijstalinea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Indien afwijkend: zie protocol diabetes </w:t>
            </w:r>
            <w:proofErr w:type="spellStart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gravidarum</w:t>
            </w:r>
            <w:proofErr w:type="spellEnd"/>
          </w:p>
          <w:p w14:paraId="3F621B1A" w14:textId="185A780F" w:rsidR="002A5004" w:rsidRPr="00A17003" w:rsidRDefault="002A5004" w:rsidP="00745D05">
            <w:pPr>
              <w:pStyle w:val="Lijstalinea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Indien niet afwijkend: counseling inleiding </w:t>
            </w:r>
            <w:proofErr w:type="spellStart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vs</w:t>
            </w:r>
            <w:proofErr w:type="spellEnd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expectatief</w:t>
            </w:r>
            <w:r w:rsidR="00BA449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zie bijlage 1.</w:t>
            </w:r>
          </w:p>
        </w:tc>
      </w:tr>
    </w:tbl>
    <w:p w14:paraId="40D9D695" w14:textId="77777777" w:rsidR="002A5004" w:rsidRPr="00A17003" w:rsidRDefault="002A5004" w:rsidP="002A5004">
      <w:pPr>
        <w:spacing w:before="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shd w:val="clear" w:color="auto" w:fill="D2C6C1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2A5004" w:rsidRPr="00A17003" w14:paraId="782EB97C" w14:textId="77777777" w:rsidTr="00745D05">
        <w:tc>
          <w:tcPr>
            <w:tcW w:w="9062" w:type="dxa"/>
            <w:shd w:val="clear" w:color="auto" w:fill="D2C6C1" w:themeFill="background2" w:themeFillShade="E6"/>
          </w:tcPr>
          <w:p w14:paraId="0009F4E3" w14:textId="77777777" w:rsidR="002A5004" w:rsidRPr="00A17003" w:rsidRDefault="002A5004" w:rsidP="00745D05">
            <w:pPr>
              <w:spacing w:before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NL"/>
              </w:rPr>
              <w:t>e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2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NL"/>
              </w:rPr>
              <w:t>e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lijn counselen hun eigen zwangere voor inleiden bij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38 a 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 weken of afwachten. </w:t>
            </w:r>
          </w:p>
          <w:p w14:paraId="19046B61" w14:textId="77777777" w:rsidR="002A5004" w:rsidRPr="00A17003" w:rsidRDefault="002A5004" w:rsidP="00745D0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Zwangere kiest voor inleiden:</w:t>
            </w:r>
          </w:p>
          <w:p w14:paraId="59982395" w14:textId="77777777" w:rsidR="002A5004" w:rsidRPr="00A17003" w:rsidRDefault="002A5004" w:rsidP="00745D05">
            <w:pPr>
              <w:numPr>
                <w:ilvl w:val="1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Er wordt een consult in de tweede lijn gepland bij 37+0 tot 37+5 weken. </w:t>
            </w:r>
          </w:p>
          <w:p w14:paraId="3C99ED3B" w14:textId="77777777" w:rsidR="002A5004" w:rsidRPr="00A17003" w:rsidRDefault="002A5004" w:rsidP="00745D05">
            <w:pPr>
              <w:numPr>
                <w:ilvl w:val="1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Tijdens dit consult wordt VT verricht en inleiding ingepland</w:t>
            </w:r>
          </w:p>
        </w:tc>
      </w:tr>
    </w:tbl>
    <w:p w14:paraId="338ECE12" w14:textId="77777777" w:rsidR="002A5004" w:rsidRPr="00A17003" w:rsidRDefault="002A5004" w:rsidP="002A5004">
      <w:pPr>
        <w:spacing w:before="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shd w:val="clear" w:color="auto" w:fill="D2C6C1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2A5004" w:rsidRPr="00A17003" w14:paraId="5A0F714A" w14:textId="77777777" w:rsidTr="00745D05">
        <w:tc>
          <w:tcPr>
            <w:tcW w:w="9062" w:type="dxa"/>
            <w:shd w:val="clear" w:color="auto" w:fill="D2C6C1" w:themeFill="background2" w:themeFillShade="E6"/>
          </w:tcPr>
          <w:p w14:paraId="0884647B" w14:textId="73016A5D" w:rsidR="002A5004" w:rsidRPr="00A17003" w:rsidRDefault="002A5004" w:rsidP="00745D05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Bij een vermoeden van </w:t>
            </w:r>
            <w:proofErr w:type="spellStart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macrosomie</w:t>
            </w:r>
            <w:proofErr w:type="spellEnd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≥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95e percentiel en geen wens tot inleiding kan een </w:t>
            </w:r>
            <w:proofErr w:type="spellStart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plaatsindicatie</w:t>
            </w:r>
            <w:proofErr w:type="spellEnd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overwogen worden. Daarbij is het advies aan verloskundig hulpverleners om met regelmaat een vaardigheidstraining in management van </w:t>
            </w:r>
            <w:proofErr w:type="spellStart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schouderdystocie</w:t>
            </w:r>
            <w:proofErr w:type="spellEnd"/>
            <w:r w:rsidRPr="00A17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 doen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</w:p>
        </w:tc>
      </w:tr>
    </w:tbl>
    <w:p w14:paraId="0BA6B230" w14:textId="77777777" w:rsidR="00C269BB" w:rsidRDefault="00C269BB" w:rsidP="003A4E3B">
      <w:pPr>
        <w:pStyle w:val="Default"/>
        <w:rPr>
          <w:b/>
          <w:sz w:val="22"/>
          <w:szCs w:val="22"/>
        </w:rPr>
      </w:pPr>
    </w:p>
    <w:p w14:paraId="127D0828" w14:textId="10A65BCD" w:rsidR="00BB0743" w:rsidRPr="00EA3E04" w:rsidRDefault="00BB0743" w:rsidP="00EA3E04">
      <w:pPr>
        <w:pStyle w:val="Default"/>
        <w:rPr>
          <w:b/>
          <w:sz w:val="20"/>
          <w:szCs w:val="20"/>
        </w:rPr>
      </w:pPr>
      <w:r w:rsidRPr="00EA3E04">
        <w:rPr>
          <w:b/>
          <w:sz w:val="20"/>
          <w:szCs w:val="20"/>
        </w:rPr>
        <w:t>Werkafspraken</w:t>
      </w:r>
      <w:r w:rsidR="002A3C8D" w:rsidRPr="00EA3E04">
        <w:rPr>
          <w:b/>
          <w:sz w:val="20"/>
          <w:szCs w:val="20"/>
        </w:rPr>
        <w:t>:</w:t>
      </w:r>
      <w:r w:rsidRPr="00EA3E04">
        <w:rPr>
          <w:b/>
          <w:sz w:val="20"/>
          <w:szCs w:val="20"/>
        </w:rPr>
        <w:t xml:space="preserve"> </w:t>
      </w:r>
    </w:p>
    <w:p w14:paraId="50A4C24F" w14:textId="5BBF4297" w:rsidR="00BB0743" w:rsidRPr="00602E3F" w:rsidRDefault="00BB0743" w:rsidP="003A4E3B">
      <w:pPr>
        <w:pStyle w:val="Default"/>
        <w:rPr>
          <w:sz w:val="20"/>
          <w:szCs w:val="20"/>
        </w:rPr>
      </w:pPr>
    </w:p>
    <w:p w14:paraId="7BD853F4" w14:textId="035B1AD2" w:rsidR="00BB0743" w:rsidRPr="00602E3F" w:rsidRDefault="00BB0743" w:rsidP="00881529">
      <w:pPr>
        <w:pStyle w:val="Default"/>
        <w:numPr>
          <w:ilvl w:val="0"/>
          <w:numId w:val="23"/>
        </w:numPr>
        <w:ind w:left="709"/>
        <w:rPr>
          <w:sz w:val="20"/>
          <w:szCs w:val="20"/>
        </w:rPr>
      </w:pPr>
      <w:r w:rsidRPr="00602E3F">
        <w:rPr>
          <w:sz w:val="20"/>
          <w:szCs w:val="20"/>
        </w:rPr>
        <w:t>Echoscopische groeicontroles op indicatie (zie screening)</w:t>
      </w:r>
      <w:r w:rsidR="00336F4B">
        <w:rPr>
          <w:sz w:val="20"/>
          <w:szCs w:val="20"/>
        </w:rPr>
        <w:t>.</w:t>
      </w:r>
      <w:r w:rsidRPr="00602E3F">
        <w:rPr>
          <w:sz w:val="20"/>
          <w:szCs w:val="20"/>
        </w:rPr>
        <w:t xml:space="preserve"> </w:t>
      </w:r>
    </w:p>
    <w:p w14:paraId="770081DA" w14:textId="59209AC4" w:rsidR="00BB0743" w:rsidRPr="00602E3F" w:rsidRDefault="00BB0743" w:rsidP="00881529">
      <w:pPr>
        <w:pStyle w:val="Default"/>
        <w:numPr>
          <w:ilvl w:val="0"/>
          <w:numId w:val="23"/>
        </w:numPr>
        <w:ind w:left="709"/>
        <w:rPr>
          <w:sz w:val="20"/>
          <w:szCs w:val="20"/>
        </w:rPr>
      </w:pPr>
      <w:r w:rsidRPr="00602E3F">
        <w:rPr>
          <w:sz w:val="20"/>
          <w:szCs w:val="20"/>
        </w:rPr>
        <w:t>Advies: terughoudend zijn in uitspraken dat het kind groot is</w:t>
      </w:r>
      <w:r w:rsidR="00336F4B">
        <w:rPr>
          <w:sz w:val="20"/>
          <w:szCs w:val="20"/>
        </w:rPr>
        <w:t>.</w:t>
      </w:r>
      <w:r w:rsidRPr="00602E3F">
        <w:rPr>
          <w:sz w:val="20"/>
          <w:szCs w:val="20"/>
        </w:rPr>
        <w:t xml:space="preserve"> </w:t>
      </w:r>
    </w:p>
    <w:p w14:paraId="32363EE9" w14:textId="4B20BFFA" w:rsidR="00734B1E" w:rsidRPr="00DF704F" w:rsidRDefault="00DF704F" w:rsidP="00881529">
      <w:pPr>
        <w:pStyle w:val="Default"/>
        <w:numPr>
          <w:ilvl w:val="0"/>
          <w:numId w:val="23"/>
        </w:numPr>
        <w:ind w:left="709"/>
        <w:rPr>
          <w:sz w:val="20"/>
          <w:szCs w:val="20"/>
        </w:rPr>
      </w:pPr>
      <w:r w:rsidRPr="00DF704F">
        <w:rPr>
          <w:rFonts w:eastAsia="Times New Roman"/>
          <w:sz w:val="20"/>
          <w:szCs w:val="20"/>
          <w:lang w:eastAsia="nl-NL"/>
        </w:rPr>
        <w:t>Breng een</w:t>
      </w:r>
      <w:r w:rsidR="00734B1E" w:rsidRPr="00DF704F">
        <w:rPr>
          <w:rFonts w:eastAsia="Times New Roman"/>
          <w:sz w:val="20"/>
          <w:szCs w:val="20"/>
          <w:lang w:eastAsia="nl-NL"/>
        </w:rPr>
        <w:t xml:space="preserve"> </w:t>
      </w:r>
      <w:r w:rsidR="009D3E5C" w:rsidRPr="00DF704F">
        <w:rPr>
          <w:rFonts w:eastAsia="Times New Roman"/>
          <w:sz w:val="20"/>
          <w:szCs w:val="20"/>
          <w:lang w:eastAsia="nl-NL"/>
        </w:rPr>
        <w:t>cliënt</w:t>
      </w:r>
      <w:r w:rsidR="009D3E5C">
        <w:rPr>
          <w:rFonts w:eastAsia="Times New Roman"/>
          <w:sz w:val="20"/>
          <w:szCs w:val="20"/>
          <w:lang w:eastAsia="nl-NL"/>
        </w:rPr>
        <w:t>e</w:t>
      </w:r>
      <w:r w:rsidRPr="00DF704F">
        <w:rPr>
          <w:rFonts w:eastAsia="Times New Roman"/>
          <w:sz w:val="20"/>
          <w:szCs w:val="20"/>
          <w:lang w:eastAsia="nl-NL"/>
        </w:rPr>
        <w:t xml:space="preserve"> met een </w:t>
      </w:r>
      <w:proofErr w:type="spellStart"/>
      <w:r w:rsidR="00734B1E" w:rsidRPr="00DF704F">
        <w:rPr>
          <w:rFonts w:eastAsia="Times New Roman"/>
          <w:sz w:val="20"/>
          <w:szCs w:val="20"/>
          <w:lang w:eastAsia="nl-NL"/>
        </w:rPr>
        <w:t>schouderdystoci</w:t>
      </w:r>
      <w:r w:rsidR="009D3E5C">
        <w:rPr>
          <w:rFonts w:eastAsia="Times New Roman"/>
          <w:sz w:val="20"/>
          <w:szCs w:val="20"/>
          <w:lang w:eastAsia="nl-NL"/>
        </w:rPr>
        <w:t>e</w:t>
      </w:r>
      <w:proofErr w:type="spellEnd"/>
      <w:r w:rsidR="00734B1E" w:rsidRPr="00DF704F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="00734B1E" w:rsidRPr="00DF704F">
        <w:rPr>
          <w:rFonts w:eastAsia="Times New Roman"/>
          <w:sz w:val="20"/>
          <w:szCs w:val="20"/>
          <w:lang w:eastAsia="nl-NL"/>
        </w:rPr>
        <w:t>i.a</w:t>
      </w:r>
      <w:proofErr w:type="spellEnd"/>
      <w:r w:rsidR="00734B1E" w:rsidRPr="00DF704F">
        <w:rPr>
          <w:rFonts w:eastAsia="Times New Roman"/>
          <w:sz w:val="20"/>
          <w:szCs w:val="20"/>
          <w:lang w:eastAsia="nl-NL"/>
        </w:rPr>
        <w:t>.</w:t>
      </w:r>
      <w:r w:rsidR="00734B1E" w:rsidRPr="00DF704F">
        <w:rPr>
          <w:sz w:val="20"/>
          <w:szCs w:val="20"/>
        </w:rPr>
        <w:t xml:space="preserve"> </w:t>
      </w:r>
      <w:r w:rsidRPr="00DF704F">
        <w:rPr>
          <w:sz w:val="20"/>
          <w:szCs w:val="20"/>
        </w:rPr>
        <w:t>in op het intakespreekuur</w:t>
      </w:r>
      <w:r w:rsidR="00734B1E" w:rsidRPr="00DF704F">
        <w:rPr>
          <w:sz w:val="20"/>
          <w:szCs w:val="20"/>
        </w:rPr>
        <w:t xml:space="preserve"> wanneer er bij </w:t>
      </w:r>
      <w:r w:rsidRPr="00DF704F">
        <w:rPr>
          <w:sz w:val="20"/>
          <w:szCs w:val="20"/>
        </w:rPr>
        <w:t xml:space="preserve">die </w:t>
      </w:r>
      <w:r w:rsidR="00734B1E" w:rsidRPr="00DF704F">
        <w:rPr>
          <w:sz w:val="20"/>
          <w:szCs w:val="20"/>
        </w:rPr>
        <w:t xml:space="preserve">partus verschillende zorgverleners betrokken zijn geweest en/of wanneer er door </w:t>
      </w:r>
      <w:proofErr w:type="spellStart"/>
      <w:r w:rsidR="00734B1E" w:rsidRPr="00DF704F">
        <w:rPr>
          <w:sz w:val="20"/>
          <w:szCs w:val="20"/>
        </w:rPr>
        <w:t>parteur</w:t>
      </w:r>
      <w:proofErr w:type="spellEnd"/>
      <w:r w:rsidR="00734B1E" w:rsidRPr="00DF704F">
        <w:rPr>
          <w:sz w:val="20"/>
          <w:szCs w:val="20"/>
        </w:rPr>
        <w:t xml:space="preserve"> geen duidelijk beloop of advies voor volgende partus</w:t>
      </w:r>
      <w:r w:rsidR="009D3E5C">
        <w:rPr>
          <w:sz w:val="20"/>
          <w:szCs w:val="20"/>
        </w:rPr>
        <w:t xml:space="preserve"> is beschreven</w:t>
      </w:r>
      <w:r w:rsidR="00734B1E" w:rsidRPr="00DF704F">
        <w:rPr>
          <w:sz w:val="20"/>
          <w:szCs w:val="20"/>
        </w:rPr>
        <w:t xml:space="preserve">. </w:t>
      </w:r>
    </w:p>
    <w:p w14:paraId="0527315D" w14:textId="36FDD5EF" w:rsidR="00D334FE" w:rsidRPr="00C269BB" w:rsidRDefault="00BB0743" w:rsidP="00D334FE">
      <w:pPr>
        <w:pStyle w:val="Default"/>
        <w:numPr>
          <w:ilvl w:val="0"/>
          <w:numId w:val="23"/>
        </w:numPr>
        <w:ind w:left="709"/>
        <w:rPr>
          <w:sz w:val="20"/>
          <w:szCs w:val="20"/>
        </w:rPr>
      </w:pPr>
      <w:r w:rsidRPr="00DF704F">
        <w:rPr>
          <w:sz w:val="20"/>
          <w:szCs w:val="20"/>
        </w:rPr>
        <w:t xml:space="preserve">Bij vermoeden </w:t>
      </w:r>
      <w:proofErr w:type="spellStart"/>
      <w:r w:rsidRPr="00DF704F">
        <w:rPr>
          <w:sz w:val="20"/>
          <w:szCs w:val="20"/>
        </w:rPr>
        <w:t>macrosomie</w:t>
      </w:r>
      <w:proofErr w:type="spellEnd"/>
      <w:r w:rsidRPr="00DF704F">
        <w:rPr>
          <w:sz w:val="20"/>
          <w:szCs w:val="20"/>
        </w:rPr>
        <w:t xml:space="preserve"> wordt een actief nageboortetijdperk gevoerd.</w:t>
      </w:r>
    </w:p>
    <w:p w14:paraId="4C5092F4" w14:textId="77777777" w:rsidR="00A30A9F" w:rsidRDefault="00A30A9F" w:rsidP="00A30A9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37F2F5F7" w14:textId="782F5EB1" w:rsidR="00D334FE" w:rsidRPr="00A30A9F" w:rsidRDefault="00D334FE" w:rsidP="00A30A9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Referenties</w:t>
      </w:r>
    </w:p>
    <w:p w14:paraId="1836B991" w14:textId="7FA66A0B" w:rsidR="00A91413" w:rsidRDefault="00D334FE" w:rsidP="00D334F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A9141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KNOV </w:t>
      </w:r>
      <w:proofErr w:type="spellStart"/>
      <w:r w:rsidR="00A9141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Factsheet</w:t>
      </w:r>
      <w:proofErr w:type="spellEnd"/>
      <w:r w:rsidR="00A9141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vermoeden van </w:t>
      </w:r>
      <w:proofErr w:type="spellStart"/>
      <w:r w:rsidR="00A9141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macrosomie</w:t>
      </w:r>
      <w:proofErr w:type="spellEnd"/>
      <w:r w:rsidR="00A91413"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Maart 2020, versie 1.0</w:t>
      </w:r>
    </w:p>
    <w:p w14:paraId="2E3F30BE" w14:textId="493DAF88" w:rsidR="00A51F7A" w:rsidRPr="00602E3F" w:rsidRDefault="00A51F7A" w:rsidP="00D334F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Module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Schouderdystocie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NVOG, april 2021.</w:t>
      </w:r>
    </w:p>
    <w:p w14:paraId="1D3B7C96" w14:textId="3B4B8A42" w:rsidR="00D334FE" w:rsidRPr="00602E3F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>Beta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J, Khan N,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Khalil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Fiolna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M, Ramadan G,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Akolekar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R.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Maternal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and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neonatal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complications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of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fetal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macrosomia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systematic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review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and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meta-analysis.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Ultrasound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Obstet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Gynecol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2019;54(3):308-18.</w:t>
      </w:r>
    </w:p>
    <w:p w14:paraId="1271AA90" w14:textId="35D88FFE" w:rsidR="00D334FE" w:rsidRPr="00602E3F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Cheng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ER, Declercq ER,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Belanoff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C,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Stotland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NE,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Iverson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RE.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Labor and Delivery Experiences of Mothers with Suspected Large Babies. Matern Child Health J. 2015;19(12):2578-86.</w:t>
      </w:r>
    </w:p>
    <w:p w14:paraId="2DA90359" w14:textId="6F5F0D0A" w:rsidR="00D334FE" w:rsidRPr="00602E3F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Sadeh-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Mestechkin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D, Walfisch A, Shachar R, Shoham-Vardi I, Vardi H, Hallak M. Suspected macrosomia? Better not tell. Arch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Gynecol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Obstet.’ 2008;278(3):225-30.</w:t>
      </w:r>
    </w:p>
    <w:p w14:paraId="37FB4B1C" w14:textId="2C8429C7" w:rsidR="00D334FE" w:rsidRPr="00602E3F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Boulvain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M,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Senat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MV,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Perrotin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F, Winer N, Beucher G, </w:t>
      </w:r>
      <w:proofErr w:type="spellStart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Subtil</w:t>
      </w:r>
      <w:proofErr w:type="spellEnd"/>
      <w:r w:rsidRPr="009A2C5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D, et al.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Induction of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labour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versus expectant management for large-for-date fetuses: a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randomised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controlled trial. Lancet.2015;385(9987):2600-5.</w:t>
      </w:r>
    </w:p>
    <w:p w14:paraId="2E428FB1" w14:textId="133456A6" w:rsidR="00D334FE" w:rsidRPr="00602E3F" w:rsidRDefault="00D334FE" w:rsidP="00D334FE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Reid EW, McNeill JA, Holmes VA, Alderdice FA. Women’s perceptions and experiences of fetal macrosomia.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Midwifery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2014;30(4):456-63.</w:t>
      </w:r>
    </w:p>
    <w:p w14:paraId="15F3262A" w14:textId="77777777" w:rsidR="00D334FE" w:rsidRPr="00602E3F" w:rsidRDefault="00D334FE" w:rsidP="00D334FE">
      <w:pPr>
        <w:spacing w:before="280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</w:t>
      </w:r>
      <w:r w:rsidRPr="00602E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Ontwikkeld door: </w:t>
      </w:r>
    </w:p>
    <w:p w14:paraId="2C0BCA43" w14:textId="2E698161" w:rsidR="00D334FE" w:rsidRPr="00602E3F" w:rsidRDefault="00D334FE" w:rsidP="00D334FE">
      <w:pPr>
        <w:numPr>
          <w:ilvl w:val="0"/>
          <w:numId w:val="15"/>
        </w:numPr>
        <w:spacing w:before="28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Rianne</w:t>
      </w:r>
      <w:r w:rsidR="004D4E0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Vink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(gynaecoloog) </w:t>
      </w:r>
    </w:p>
    <w:p w14:paraId="5B5B3E3C" w14:textId="63423905" w:rsidR="00D334FE" w:rsidRPr="00602E3F" w:rsidRDefault="00D334FE" w:rsidP="00D334F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Il</w:t>
      </w:r>
      <w:r w:rsidR="004D4E0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van Willigen (1</w:t>
      </w:r>
      <w:r w:rsidRPr="00602E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l-NL"/>
        </w:rPr>
        <w:t>e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lijns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verloskundige) </w:t>
      </w:r>
    </w:p>
    <w:p w14:paraId="566F7217" w14:textId="77777777" w:rsidR="00D334FE" w:rsidRPr="00602E3F" w:rsidRDefault="00D334FE" w:rsidP="00D334F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Petra Heijstek (1</w:t>
      </w:r>
      <w:r w:rsidRPr="00602E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l-NL"/>
        </w:rPr>
        <w:t>e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lijns</w:t>
      </w:r>
      <w:proofErr w:type="spellEnd"/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verloskundige) </w:t>
      </w:r>
    </w:p>
    <w:p w14:paraId="7CCE22C4" w14:textId="77777777" w:rsidR="005164F5" w:rsidRDefault="005164F5" w:rsidP="00D334FE">
      <w:pPr>
        <w:rPr>
          <w:rFonts w:ascii="Arial" w:hAnsi="Arial" w:cs="Arial"/>
          <w:sz w:val="20"/>
          <w:szCs w:val="20"/>
        </w:rPr>
      </w:pPr>
    </w:p>
    <w:p w14:paraId="2BF5ACA5" w14:textId="6BA617D2" w:rsidR="00A30A9F" w:rsidRDefault="00A30A9F" w:rsidP="00A30A9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3E583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Bijlage 1 Het </w:t>
      </w:r>
      <w:r w:rsidRPr="003E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counselingsgesprek </w:t>
      </w:r>
    </w:p>
    <w:p w14:paraId="5DECCFAB" w14:textId="77777777" w:rsidR="00C269BB" w:rsidRPr="003E5830" w:rsidRDefault="00C269BB" w:rsidP="00A30A9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0AECF1D0" w14:textId="77777777" w:rsidR="00A30A9F" w:rsidRPr="00602E3F" w:rsidRDefault="00A30A9F" w:rsidP="00A30A9F">
      <w:pPr>
        <w:pStyle w:val="Default"/>
        <w:rPr>
          <w:b/>
          <w:sz w:val="20"/>
          <w:szCs w:val="20"/>
        </w:rPr>
      </w:pPr>
      <w:r w:rsidRPr="00602E3F">
        <w:rPr>
          <w:b/>
          <w:sz w:val="20"/>
          <w:szCs w:val="20"/>
        </w:rPr>
        <w:t>Inleiding versus afwachten</w:t>
      </w:r>
    </w:p>
    <w:p w14:paraId="13277452" w14:textId="0E30F46E" w:rsidR="00C269BB" w:rsidRDefault="00A30A9F" w:rsidP="00A30A9F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Counsel de zwangere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tav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inleiden of een spontane baring afwachten.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doel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is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vrouw en haar partner te faciliteren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602E3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zo goed mogelijk een beslissing te nemen over de zorg voor henzelf en hun kind.  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2C6C1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2A3C8D" w:rsidRPr="002A3C8D" w14:paraId="3C8521DE" w14:textId="77777777" w:rsidTr="00C269BB">
        <w:tc>
          <w:tcPr>
            <w:tcW w:w="9062" w:type="dxa"/>
            <w:shd w:val="clear" w:color="auto" w:fill="D2C6C1" w:themeFill="background2" w:themeFillShade="E6"/>
          </w:tcPr>
          <w:p w14:paraId="24E1E4D5" w14:textId="77777777" w:rsidR="002A3C8D" w:rsidRPr="00C269BB" w:rsidRDefault="002A3C8D" w:rsidP="003606E2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r w:rsidRPr="00C269BB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 xml:space="preserve">          Bespreek:</w:t>
            </w:r>
          </w:p>
          <w:p w14:paraId="6C220E34" w14:textId="77777777" w:rsidR="002A3C8D" w:rsidRPr="00C269BB" w:rsidRDefault="002A3C8D" w:rsidP="002A3C8D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269BB">
              <w:rPr>
                <w:rFonts w:eastAsia="Times New Roman"/>
                <w:sz w:val="20"/>
                <w:szCs w:val="20"/>
                <w:lang w:eastAsia="nl-NL"/>
              </w:rPr>
              <w:t>De ontwikkeling van de foetale groei</w:t>
            </w:r>
          </w:p>
          <w:p w14:paraId="33C405A9" w14:textId="77777777" w:rsidR="002A3C8D" w:rsidRPr="00C269BB" w:rsidRDefault="002A3C8D" w:rsidP="002A3C8D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269BB">
              <w:rPr>
                <w:sz w:val="20"/>
                <w:szCs w:val="20"/>
              </w:rPr>
              <w:t>De onzekerheid van de screening</w:t>
            </w:r>
          </w:p>
          <w:p w14:paraId="2F72B5C0" w14:textId="77777777" w:rsidR="002A3C8D" w:rsidRPr="00C269BB" w:rsidRDefault="002A3C8D" w:rsidP="002A3C8D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269BB">
              <w:rPr>
                <w:sz w:val="20"/>
                <w:szCs w:val="20"/>
              </w:rPr>
              <w:t xml:space="preserve">De mogelijke risico’s van </w:t>
            </w:r>
            <w:proofErr w:type="spellStart"/>
            <w:r w:rsidRPr="00C269BB">
              <w:rPr>
                <w:sz w:val="20"/>
                <w:szCs w:val="20"/>
              </w:rPr>
              <w:t>macrosomie</w:t>
            </w:r>
            <w:proofErr w:type="spellEnd"/>
          </w:p>
          <w:p w14:paraId="4E1952AA" w14:textId="413D0FFB" w:rsidR="002A3C8D" w:rsidRPr="00C269BB" w:rsidRDefault="002A3C8D" w:rsidP="002A3C8D">
            <w:pPr>
              <w:pStyle w:val="Default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C269BB">
              <w:rPr>
                <w:sz w:val="20"/>
                <w:szCs w:val="20"/>
              </w:rPr>
              <w:t>De voor- en nadelen van inleiden of afwachten, zie tabel hieronder.</w:t>
            </w:r>
            <w:r w:rsidRPr="00C269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69BB" w:rsidRPr="002A3C8D" w14:paraId="76FC667F" w14:textId="77777777" w:rsidTr="00C269BB">
        <w:tc>
          <w:tcPr>
            <w:tcW w:w="9062" w:type="dxa"/>
            <w:shd w:val="clear" w:color="auto" w:fill="D2C6C1" w:themeFill="background2" w:themeFillShade="E6"/>
          </w:tcPr>
          <w:p w14:paraId="030BCE77" w14:textId="4BF509FA" w:rsidR="00C269BB" w:rsidRPr="00C269BB" w:rsidRDefault="00C269BB" w:rsidP="003606E2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416585A3" w14:textId="6EC48C70" w:rsidR="00C269BB" w:rsidRDefault="00C269BB" w:rsidP="00A30A9F">
      <w:pPr>
        <w:pStyle w:val="Default"/>
        <w:rPr>
          <w:sz w:val="20"/>
          <w:szCs w:val="20"/>
        </w:rPr>
      </w:pPr>
    </w:p>
    <w:p w14:paraId="054C96CF" w14:textId="77777777" w:rsidR="00C269BB" w:rsidRPr="00602E3F" w:rsidRDefault="00C269BB" w:rsidP="00A30A9F">
      <w:pPr>
        <w:pStyle w:val="Default"/>
        <w:rPr>
          <w:sz w:val="20"/>
          <w:szCs w:val="20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30A9F" w:rsidRPr="00602E3F" w14:paraId="4EB086E5" w14:textId="77777777" w:rsidTr="00C355E9">
        <w:tc>
          <w:tcPr>
            <w:tcW w:w="4678" w:type="dxa"/>
            <w:shd w:val="clear" w:color="auto" w:fill="D2C6C1" w:themeFill="background2" w:themeFillShade="E6"/>
          </w:tcPr>
          <w:p w14:paraId="79257204" w14:textId="77777777" w:rsidR="00A30A9F" w:rsidRPr="00F34994" w:rsidRDefault="00A30A9F" w:rsidP="00C355E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34994">
              <w:rPr>
                <w:b/>
                <w:bCs/>
                <w:sz w:val="20"/>
                <w:szCs w:val="20"/>
              </w:rPr>
              <w:t>Maternaal</w:t>
            </w:r>
          </w:p>
        </w:tc>
        <w:tc>
          <w:tcPr>
            <w:tcW w:w="4678" w:type="dxa"/>
            <w:shd w:val="clear" w:color="auto" w:fill="D2C6C1" w:themeFill="background2" w:themeFillShade="E6"/>
          </w:tcPr>
          <w:p w14:paraId="2C93F678" w14:textId="77777777" w:rsidR="00A30A9F" w:rsidRPr="00F34994" w:rsidRDefault="00A30A9F" w:rsidP="00C355E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34994">
              <w:rPr>
                <w:b/>
                <w:bCs/>
                <w:sz w:val="20"/>
                <w:szCs w:val="20"/>
              </w:rPr>
              <w:t>Neonataal</w:t>
            </w:r>
          </w:p>
          <w:p w14:paraId="43632C8A" w14:textId="77777777" w:rsidR="00A30A9F" w:rsidRPr="00F34994" w:rsidRDefault="00A30A9F" w:rsidP="00C355E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0A9F" w:rsidRPr="00602E3F" w14:paraId="39AA0B60" w14:textId="77777777" w:rsidTr="00C355E9">
        <w:tc>
          <w:tcPr>
            <w:tcW w:w="4678" w:type="dxa"/>
          </w:tcPr>
          <w:p w14:paraId="6533D415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  <w:r w:rsidRPr="00602E3F">
              <w:rPr>
                <w:sz w:val="20"/>
                <w:szCs w:val="20"/>
              </w:rPr>
              <w:t xml:space="preserve">Geen verschil in sectio </w:t>
            </w:r>
          </w:p>
          <w:p w14:paraId="105C221E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9958F5F" w14:textId="77777777" w:rsidR="00A30A9F" w:rsidRPr="00881529" w:rsidRDefault="00A30A9F" w:rsidP="00C355E9">
            <w:pPr>
              <w:pStyle w:val="Default"/>
              <w:rPr>
                <w:color w:val="auto"/>
                <w:sz w:val="20"/>
                <w:szCs w:val="20"/>
              </w:rPr>
            </w:pPr>
            <w:r w:rsidRPr="00881529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 xml:space="preserve">Minder vaak </w:t>
            </w:r>
            <w:proofErr w:type="spellStart"/>
            <w:r w:rsidRPr="00881529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schouderdystocie</w:t>
            </w:r>
            <w:proofErr w:type="spellEnd"/>
            <w:r w:rsidRPr="00881529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 xml:space="preserve"> bij inleiding (AD 37-40w) 4,1% versus 6,8%. NNT 36</w:t>
            </w:r>
          </w:p>
        </w:tc>
      </w:tr>
      <w:tr w:rsidR="00A30A9F" w:rsidRPr="00602E3F" w14:paraId="7699DACC" w14:textId="77777777" w:rsidTr="00C355E9">
        <w:tc>
          <w:tcPr>
            <w:tcW w:w="4678" w:type="dxa"/>
          </w:tcPr>
          <w:p w14:paraId="4B832FE0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Geen verschil in risico op vaginale kunstverlossing</w:t>
            </w:r>
          </w:p>
          <w:p w14:paraId="02D08197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4082FD6" w14:textId="77777777" w:rsidR="00A30A9F" w:rsidRPr="00881529" w:rsidRDefault="00A30A9F" w:rsidP="00C355E9">
            <w:pPr>
              <w:pStyle w:val="Default"/>
              <w:rPr>
                <w:color w:val="auto"/>
                <w:sz w:val="20"/>
                <w:szCs w:val="20"/>
              </w:rPr>
            </w:pPr>
            <w:r w:rsidRPr="00881529">
              <w:rPr>
                <w:color w:val="auto"/>
                <w:sz w:val="20"/>
                <w:szCs w:val="20"/>
              </w:rPr>
              <w:t>Minder fracturen bij inleiding (AD 37-40)</w:t>
            </w:r>
          </w:p>
          <w:p w14:paraId="191FDE24" w14:textId="77777777" w:rsidR="00A30A9F" w:rsidRPr="00881529" w:rsidRDefault="00A30A9F" w:rsidP="00C355E9">
            <w:pPr>
              <w:pStyle w:val="Default"/>
              <w:rPr>
                <w:color w:val="auto"/>
                <w:sz w:val="20"/>
                <w:szCs w:val="20"/>
              </w:rPr>
            </w:pPr>
            <w:r w:rsidRPr="00881529">
              <w:rPr>
                <w:color w:val="auto"/>
                <w:sz w:val="20"/>
                <w:szCs w:val="20"/>
              </w:rPr>
              <w:t>0,3% versus 2% NNT 60</w:t>
            </w:r>
          </w:p>
        </w:tc>
      </w:tr>
      <w:tr w:rsidR="00A30A9F" w:rsidRPr="00602E3F" w14:paraId="696796A1" w14:textId="77777777" w:rsidTr="00C355E9">
        <w:tc>
          <w:tcPr>
            <w:tcW w:w="4678" w:type="dxa"/>
          </w:tcPr>
          <w:p w14:paraId="076BCE81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Geen eenduidigheid in risico t.a.v. 3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/4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graads</w:t>
            </w:r>
            <w:proofErr w:type="spellEnd"/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rupturen</w:t>
            </w:r>
          </w:p>
          <w:p w14:paraId="4DDDF138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14:paraId="567BE0B0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  <w:r w:rsidRPr="00602E3F">
              <w:rPr>
                <w:sz w:val="20"/>
                <w:szCs w:val="20"/>
              </w:rPr>
              <w:t xml:space="preserve">Geen verschil in plexus </w:t>
            </w:r>
            <w:proofErr w:type="spellStart"/>
            <w:r w:rsidRPr="00602E3F">
              <w:rPr>
                <w:sz w:val="20"/>
                <w:szCs w:val="20"/>
              </w:rPr>
              <w:t>brachialis</w:t>
            </w:r>
            <w:proofErr w:type="spellEnd"/>
            <w:r w:rsidRPr="00602E3F">
              <w:rPr>
                <w:sz w:val="20"/>
                <w:szCs w:val="20"/>
              </w:rPr>
              <w:t xml:space="preserve"> beschadiging</w:t>
            </w:r>
          </w:p>
        </w:tc>
      </w:tr>
      <w:tr w:rsidR="00A30A9F" w:rsidRPr="00602E3F" w14:paraId="0AC495AB" w14:textId="77777777" w:rsidTr="00C355E9">
        <w:tc>
          <w:tcPr>
            <w:tcW w:w="4678" w:type="dxa"/>
          </w:tcPr>
          <w:p w14:paraId="460A7E65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Geen verschil in risico PPH</w:t>
            </w:r>
          </w:p>
          <w:p w14:paraId="1B9FD5B7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14:paraId="5DD68BF8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  <w:r w:rsidRPr="00602E3F">
              <w:rPr>
                <w:sz w:val="20"/>
                <w:szCs w:val="20"/>
              </w:rPr>
              <w:t>Geen verschil in risico op asfyxie, lage navelstreng pH, reanimatie/opname NICU</w:t>
            </w:r>
          </w:p>
        </w:tc>
      </w:tr>
      <w:tr w:rsidR="00A30A9F" w:rsidRPr="00602E3F" w14:paraId="31E3AF38" w14:textId="77777777" w:rsidTr="00C355E9">
        <w:tc>
          <w:tcPr>
            <w:tcW w:w="4678" w:type="dxa"/>
          </w:tcPr>
          <w:p w14:paraId="32AE7C2A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02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Geen informatie over maternale tevredenheid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bij inleiden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macrosomie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</w:p>
        </w:tc>
        <w:tc>
          <w:tcPr>
            <w:tcW w:w="4678" w:type="dxa"/>
          </w:tcPr>
          <w:p w14:paraId="6ADE3631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  <w:r w:rsidRPr="00602E3F">
              <w:rPr>
                <w:sz w:val="20"/>
                <w:szCs w:val="20"/>
              </w:rPr>
              <w:t>Geen informatie over lange termijneffecten</w:t>
            </w:r>
          </w:p>
          <w:p w14:paraId="69D1D4F5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</w:p>
        </w:tc>
      </w:tr>
      <w:tr w:rsidR="00A30A9F" w:rsidRPr="00602E3F" w14:paraId="502BDCED" w14:textId="77777777" w:rsidTr="00C355E9">
        <w:tc>
          <w:tcPr>
            <w:tcW w:w="4678" w:type="dxa"/>
          </w:tcPr>
          <w:p w14:paraId="06C5C69F" w14:textId="77777777" w:rsidR="00A30A9F" w:rsidRPr="00386241" w:rsidRDefault="00A30A9F" w:rsidP="00C355E9">
            <w:pPr>
              <w:rPr>
                <w:rFonts w:ascii="Arial" w:hAnsi="Arial" w:cs="Arial"/>
                <w:sz w:val="20"/>
                <w:szCs w:val="20"/>
              </w:rPr>
            </w:pPr>
            <w:r w:rsidRPr="00386241">
              <w:rPr>
                <w:rFonts w:ascii="Arial" w:hAnsi="Arial" w:cs="Arial"/>
                <w:sz w:val="20"/>
                <w:szCs w:val="20"/>
              </w:rPr>
              <w:t xml:space="preserve">Een inleiding is een medische bevalling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86241">
              <w:rPr>
                <w:rFonts w:ascii="Arial" w:hAnsi="Arial" w:cs="Arial"/>
                <w:sz w:val="20"/>
                <w:szCs w:val="20"/>
              </w:rPr>
              <w:t>et intensieve monitoring met mogelijk minder bewegingsvrijheid.</w:t>
            </w:r>
          </w:p>
          <w:p w14:paraId="6C617BFB" w14:textId="77777777" w:rsidR="00A30A9F" w:rsidRPr="00602E3F" w:rsidRDefault="00A30A9F" w:rsidP="00C355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14:paraId="72DE2B31" w14:textId="77777777" w:rsidR="00A30A9F" w:rsidRPr="00602E3F" w:rsidRDefault="00A30A9F" w:rsidP="00C35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Vaker fototherapie nodig. 13% versus 7%.</w:t>
            </w:r>
          </w:p>
        </w:tc>
      </w:tr>
    </w:tbl>
    <w:p w14:paraId="3DC7601E" w14:textId="77777777" w:rsidR="00A30A9F" w:rsidRDefault="00A30A9F" w:rsidP="00A30A9F">
      <w:pPr>
        <w:spacing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DE1E94F" w14:textId="77777777" w:rsidR="00A30A9F" w:rsidRPr="00602E3F" w:rsidRDefault="00A30A9F" w:rsidP="00A30A9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02E3F">
        <w:rPr>
          <w:rFonts w:ascii="Arial" w:eastAsia="Times New Roman" w:hAnsi="Arial" w:cs="Arial"/>
          <w:sz w:val="20"/>
          <w:szCs w:val="20"/>
          <w:lang w:eastAsia="nl-NL"/>
        </w:rPr>
        <w:lastRenderedPageBreak/>
        <w:br/>
      </w:r>
    </w:p>
    <w:p w14:paraId="452EB57F" w14:textId="77777777" w:rsidR="00A30A9F" w:rsidRPr="00602E3F" w:rsidRDefault="00A30A9F" w:rsidP="00D334FE">
      <w:pPr>
        <w:rPr>
          <w:rFonts w:ascii="Arial" w:hAnsi="Arial" w:cs="Arial"/>
          <w:sz w:val="20"/>
          <w:szCs w:val="20"/>
        </w:rPr>
      </w:pPr>
    </w:p>
    <w:sectPr w:rsidR="00A30A9F" w:rsidRPr="00602E3F" w:rsidSect="00C26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9D02" w14:textId="77777777" w:rsidR="005360A1" w:rsidRDefault="005360A1" w:rsidP="00602E3F">
      <w:pPr>
        <w:spacing w:after="0" w:line="240" w:lineRule="auto"/>
      </w:pPr>
      <w:r>
        <w:separator/>
      </w:r>
    </w:p>
  </w:endnote>
  <w:endnote w:type="continuationSeparator" w:id="0">
    <w:p w14:paraId="01A0F988" w14:textId="77777777" w:rsidR="005360A1" w:rsidRDefault="005360A1" w:rsidP="0060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04339"/>
      <w:docPartObj>
        <w:docPartGallery w:val="Page Numbers (Bottom of Page)"/>
        <w:docPartUnique/>
      </w:docPartObj>
    </w:sdtPr>
    <w:sdtContent>
      <w:p w14:paraId="26A3C36B" w14:textId="23970120" w:rsidR="00602E3F" w:rsidRDefault="00602E3F">
        <w:pPr>
          <w:pStyle w:val="Voettekst"/>
          <w:jc w:val="right"/>
        </w:pPr>
        <w:proofErr w:type="spellStart"/>
        <w:r>
          <w:t>Macrosomie_</w:t>
        </w:r>
        <w:r w:rsidR="00A30A9F">
          <w:t>november</w:t>
        </w:r>
        <w:proofErr w:type="spellEnd"/>
        <w:r>
          <w:t xml:space="preserve"> 2022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D131A92" w14:textId="77777777" w:rsidR="00602E3F" w:rsidRDefault="00602E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58B5" w14:textId="77777777" w:rsidR="005360A1" w:rsidRDefault="005360A1" w:rsidP="00602E3F">
      <w:pPr>
        <w:spacing w:after="0" w:line="240" w:lineRule="auto"/>
      </w:pPr>
      <w:r>
        <w:separator/>
      </w:r>
    </w:p>
  </w:footnote>
  <w:footnote w:type="continuationSeparator" w:id="0">
    <w:p w14:paraId="77918B81" w14:textId="77777777" w:rsidR="005360A1" w:rsidRDefault="005360A1" w:rsidP="0060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122"/>
    <w:multiLevelType w:val="hybridMultilevel"/>
    <w:tmpl w:val="A0847A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AAA"/>
    <w:multiLevelType w:val="hybridMultilevel"/>
    <w:tmpl w:val="FCF25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15D0"/>
    <w:multiLevelType w:val="multilevel"/>
    <w:tmpl w:val="025C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21978"/>
    <w:multiLevelType w:val="hybridMultilevel"/>
    <w:tmpl w:val="8F727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260B"/>
    <w:multiLevelType w:val="multilevel"/>
    <w:tmpl w:val="148E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20E7"/>
    <w:multiLevelType w:val="hybridMultilevel"/>
    <w:tmpl w:val="DE2E4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403E"/>
    <w:multiLevelType w:val="multilevel"/>
    <w:tmpl w:val="9C120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9429E4"/>
    <w:multiLevelType w:val="multilevel"/>
    <w:tmpl w:val="8730C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B0078"/>
    <w:multiLevelType w:val="multilevel"/>
    <w:tmpl w:val="7122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D6D41"/>
    <w:multiLevelType w:val="hybridMultilevel"/>
    <w:tmpl w:val="433E1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2BE8"/>
    <w:multiLevelType w:val="multilevel"/>
    <w:tmpl w:val="5380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E62DF"/>
    <w:multiLevelType w:val="multilevel"/>
    <w:tmpl w:val="B34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76D36"/>
    <w:multiLevelType w:val="hybridMultilevel"/>
    <w:tmpl w:val="E2F462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65A9"/>
    <w:multiLevelType w:val="hybridMultilevel"/>
    <w:tmpl w:val="A3347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132C"/>
    <w:multiLevelType w:val="multilevel"/>
    <w:tmpl w:val="7D6E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B374C"/>
    <w:multiLevelType w:val="hybridMultilevel"/>
    <w:tmpl w:val="4C4EA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72A57"/>
    <w:multiLevelType w:val="multilevel"/>
    <w:tmpl w:val="148E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F7507"/>
    <w:multiLevelType w:val="multilevel"/>
    <w:tmpl w:val="E08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4425C"/>
    <w:multiLevelType w:val="multilevel"/>
    <w:tmpl w:val="EC5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269E8"/>
    <w:multiLevelType w:val="multilevel"/>
    <w:tmpl w:val="8CD0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377E0"/>
    <w:multiLevelType w:val="hybridMultilevel"/>
    <w:tmpl w:val="40E27F16"/>
    <w:lvl w:ilvl="0" w:tplc="C232B0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E3E97"/>
    <w:multiLevelType w:val="multilevel"/>
    <w:tmpl w:val="E9C0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86C9D"/>
    <w:multiLevelType w:val="hybridMultilevel"/>
    <w:tmpl w:val="39421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3770"/>
    <w:multiLevelType w:val="hybridMultilevel"/>
    <w:tmpl w:val="57CCC76C"/>
    <w:lvl w:ilvl="0" w:tplc="C232B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3197"/>
    <w:multiLevelType w:val="multilevel"/>
    <w:tmpl w:val="3E7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74B65"/>
    <w:multiLevelType w:val="hybridMultilevel"/>
    <w:tmpl w:val="38F45D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C05F7"/>
    <w:multiLevelType w:val="hybridMultilevel"/>
    <w:tmpl w:val="FFDA0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0AFD"/>
    <w:multiLevelType w:val="multilevel"/>
    <w:tmpl w:val="89CE4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753626"/>
    <w:multiLevelType w:val="hybridMultilevel"/>
    <w:tmpl w:val="037CEDAA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65155"/>
    <w:multiLevelType w:val="multilevel"/>
    <w:tmpl w:val="BE66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907244">
    <w:abstractNumId w:val="19"/>
  </w:num>
  <w:num w:numId="2" w16cid:durableId="566116549">
    <w:abstractNumId w:val="16"/>
  </w:num>
  <w:num w:numId="3" w16cid:durableId="1065949754">
    <w:abstractNumId w:val="10"/>
  </w:num>
  <w:num w:numId="4" w16cid:durableId="1517304425">
    <w:abstractNumId w:val="14"/>
  </w:num>
  <w:num w:numId="5" w16cid:durableId="998850098">
    <w:abstractNumId w:val="11"/>
  </w:num>
  <w:num w:numId="6" w16cid:durableId="1694184651">
    <w:abstractNumId w:val="21"/>
  </w:num>
  <w:num w:numId="7" w16cid:durableId="1608390160">
    <w:abstractNumId w:val="24"/>
  </w:num>
  <w:num w:numId="8" w16cid:durableId="2043044859">
    <w:abstractNumId w:val="18"/>
  </w:num>
  <w:num w:numId="9" w16cid:durableId="331883985">
    <w:abstractNumId w:val="18"/>
  </w:num>
  <w:num w:numId="10" w16cid:durableId="127586534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847668574">
    <w:abstractNumId w:val="17"/>
  </w:num>
  <w:num w:numId="12" w16cid:durableId="1802453314">
    <w:abstractNumId w:val="17"/>
  </w:num>
  <w:num w:numId="13" w16cid:durableId="77405795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756054875">
    <w:abstractNumId w:val="8"/>
  </w:num>
  <w:num w:numId="15" w16cid:durableId="1100760682">
    <w:abstractNumId w:val="2"/>
  </w:num>
  <w:num w:numId="16" w16cid:durableId="1329480958">
    <w:abstractNumId w:val="0"/>
  </w:num>
  <w:num w:numId="17" w16cid:durableId="372733554">
    <w:abstractNumId w:val="4"/>
  </w:num>
  <w:num w:numId="18" w16cid:durableId="767777825">
    <w:abstractNumId w:val="15"/>
  </w:num>
  <w:num w:numId="19" w16cid:durableId="1124614662">
    <w:abstractNumId w:val="29"/>
  </w:num>
  <w:num w:numId="20" w16cid:durableId="1485273444">
    <w:abstractNumId w:val="13"/>
  </w:num>
  <w:num w:numId="21" w16cid:durableId="1549681715">
    <w:abstractNumId w:val="3"/>
  </w:num>
  <w:num w:numId="22" w16cid:durableId="1548957045">
    <w:abstractNumId w:val="22"/>
  </w:num>
  <w:num w:numId="23" w16cid:durableId="515268740">
    <w:abstractNumId w:val="9"/>
  </w:num>
  <w:num w:numId="24" w16cid:durableId="1669866465">
    <w:abstractNumId w:val="26"/>
  </w:num>
  <w:num w:numId="25" w16cid:durableId="491718735">
    <w:abstractNumId w:val="12"/>
  </w:num>
  <w:num w:numId="26" w16cid:durableId="128398448">
    <w:abstractNumId w:val="5"/>
  </w:num>
  <w:num w:numId="27" w16cid:durableId="2061131358">
    <w:abstractNumId w:val="28"/>
  </w:num>
  <w:num w:numId="28" w16cid:durableId="1520967904">
    <w:abstractNumId w:val="23"/>
  </w:num>
  <w:num w:numId="29" w16cid:durableId="2087459870">
    <w:abstractNumId w:val="20"/>
  </w:num>
  <w:num w:numId="30" w16cid:durableId="125271985">
    <w:abstractNumId w:val="25"/>
  </w:num>
  <w:num w:numId="31" w16cid:durableId="1188908723">
    <w:abstractNumId w:val="1"/>
  </w:num>
  <w:num w:numId="32" w16cid:durableId="24256546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06432859">
    <w:abstractNumId w:val="6"/>
  </w:num>
  <w:num w:numId="34" w16cid:durableId="3548157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FE"/>
    <w:rsid w:val="00045F00"/>
    <w:rsid w:val="00084582"/>
    <w:rsid w:val="00086072"/>
    <w:rsid w:val="000A04E2"/>
    <w:rsid w:val="000D194E"/>
    <w:rsid w:val="000E5938"/>
    <w:rsid w:val="00151573"/>
    <w:rsid w:val="001643DD"/>
    <w:rsid w:val="001A148C"/>
    <w:rsid w:val="001B1C10"/>
    <w:rsid w:val="002457A2"/>
    <w:rsid w:val="002A3C8D"/>
    <w:rsid w:val="002A5004"/>
    <w:rsid w:val="00310094"/>
    <w:rsid w:val="00336F4B"/>
    <w:rsid w:val="00386241"/>
    <w:rsid w:val="003862B6"/>
    <w:rsid w:val="00393F68"/>
    <w:rsid w:val="003A4E3B"/>
    <w:rsid w:val="003B634B"/>
    <w:rsid w:val="003B76DE"/>
    <w:rsid w:val="003E5830"/>
    <w:rsid w:val="003F1A07"/>
    <w:rsid w:val="00407925"/>
    <w:rsid w:val="0044698E"/>
    <w:rsid w:val="0045516D"/>
    <w:rsid w:val="0048398E"/>
    <w:rsid w:val="00491B39"/>
    <w:rsid w:val="004D4E01"/>
    <w:rsid w:val="005164F5"/>
    <w:rsid w:val="00520593"/>
    <w:rsid w:val="005360A1"/>
    <w:rsid w:val="00541A51"/>
    <w:rsid w:val="00555FF1"/>
    <w:rsid w:val="00567C71"/>
    <w:rsid w:val="0059744A"/>
    <w:rsid w:val="005B7DBE"/>
    <w:rsid w:val="00602E3F"/>
    <w:rsid w:val="006760C2"/>
    <w:rsid w:val="006A396E"/>
    <w:rsid w:val="00734B1E"/>
    <w:rsid w:val="007701F8"/>
    <w:rsid w:val="00810763"/>
    <w:rsid w:val="008459EF"/>
    <w:rsid w:val="00881529"/>
    <w:rsid w:val="00920159"/>
    <w:rsid w:val="00926A00"/>
    <w:rsid w:val="00976185"/>
    <w:rsid w:val="0098037E"/>
    <w:rsid w:val="009A2C54"/>
    <w:rsid w:val="009B31B8"/>
    <w:rsid w:val="009B32D0"/>
    <w:rsid w:val="009C4F84"/>
    <w:rsid w:val="009D3E5C"/>
    <w:rsid w:val="00A03FF0"/>
    <w:rsid w:val="00A05B3C"/>
    <w:rsid w:val="00A06124"/>
    <w:rsid w:val="00A17003"/>
    <w:rsid w:val="00A30A9F"/>
    <w:rsid w:val="00A31976"/>
    <w:rsid w:val="00A33F37"/>
    <w:rsid w:val="00A44CAC"/>
    <w:rsid w:val="00A51F7A"/>
    <w:rsid w:val="00A62704"/>
    <w:rsid w:val="00A91413"/>
    <w:rsid w:val="00AF6904"/>
    <w:rsid w:val="00B362F9"/>
    <w:rsid w:val="00B65987"/>
    <w:rsid w:val="00B80F54"/>
    <w:rsid w:val="00BA4026"/>
    <w:rsid w:val="00BA4491"/>
    <w:rsid w:val="00BA62FC"/>
    <w:rsid w:val="00BB0743"/>
    <w:rsid w:val="00BD53B9"/>
    <w:rsid w:val="00BF509C"/>
    <w:rsid w:val="00C07043"/>
    <w:rsid w:val="00C269BB"/>
    <w:rsid w:val="00C33C52"/>
    <w:rsid w:val="00C42EBD"/>
    <w:rsid w:val="00C673B9"/>
    <w:rsid w:val="00CA5F00"/>
    <w:rsid w:val="00CB543B"/>
    <w:rsid w:val="00CE55B6"/>
    <w:rsid w:val="00CF3D41"/>
    <w:rsid w:val="00D32761"/>
    <w:rsid w:val="00D334FE"/>
    <w:rsid w:val="00D64946"/>
    <w:rsid w:val="00D93139"/>
    <w:rsid w:val="00DA4030"/>
    <w:rsid w:val="00DB3069"/>
    <w:rsid w:val="00DC34A2"/>
    <w:rsid w:val="00DC37D0"/>
    <w:rsid w:val="00DF704F"/>
    <w:rsid w:val="00E045F0"/>
    <w:rsid w:val="00E05D7B"/>
    <w:rsid w:val="00EA0F78"/>
    <w:rsid w:val="00EA3776"/>
    <w:rsid w:val="00EA3E04"/>
    <w:rsid w:val="00F31CD2"/>
    <w:rsid w:val="00F34994"/>
    <w:rsid w:val="00F530C2"/>
    <w:rsid w:val="00F75BC5"/>
    <w:rsid w:val="00FE2A63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64A3"/>
  <w15:chartTrackingRefBased/>
  <w15:docId w15:val="{A71B8462-A37F-48A5-832F-D425CA73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334F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60C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55F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55F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55F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5F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5F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5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1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0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2E3F"/>
  </w:style>
  <w:style w:type="paragraph" w:styleId="Voettekst">
    <w:name w:val="footer"/>
    <w:basedOn w:val="Standaard"/>
    <w:link w:val="VoettekstChar"/>
    <w:uiPriority w:val="99"/>
    <w:unhideWhenUsed/>
    <w:rsid w:val="0060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54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22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634">
          <w:marLeft w:val="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Oudenes</dc:creator>
  <cp:keywords/>
  <dc:description/>
  <cp:lastModifiedBy>Petra Heijstek</cp:lastModifiedBy>
  <cp:revision>2</cp:revision>
  <dcterms:created xsi:type="dcterms:W3CDTF">2022-11-11T11:06:00Z</dcterms:created>
  <dcterms:modified xsi:type="dcterms:W3CDTF">2022-11-11T11:06:00Z</dcterms:modified>
</cp:coreProperties>
</file>